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AC" w:rsidRDefault="002349AC" w:rsidP="007704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40"/>
        </w:tabs>
        <w:jc w:val="center"/>
        <w:rPr>
          <w:rFonts w:asciiTheme="minorHAnsi" w:hAnsiTheme="minorHAnsi"/>
          <w:b/>
          <w:sz w:val="28"/>
        </w:rPr>
      </w:pPr>
      <w:r w:rsidRPr="00913A7F">
        <w:rPr>
          <w:rFonts w:asciiTheme="minorHAnsi" w:hAnsiTheme="minorHAnsi"/>
          <w:b/>
          <w:sz w:val="28"/>
        </w:rPr>
        <w:t>Advocacy Programs</w:t>
      </w:r>
      <w:r>
        <w:rPr>
          <w:rFonts w:asciiTheme="minorHAnsi" w:hAnsiTheme="minorHAnsi"/>
          <w:b/>
          <w:sz w:val="28"/>
        </w:rPr>
        <w:t xml:space="preserve"> </w:t>
      </w:r>
      <w:r w:rsidR="006213A5">
        <w:rPr>
          <w:rFonts w:asciiTheme="minorHAnsi" w:hAnsiTheme="minorHAnsi"/>
          <w:b/>
          <w:sz w:val="28"/>
        </w:rPr>
        <w:t>Activities</w:t>
      </w:r>
    </w:p>
    <w:p w:rsidR="00D949F6" w:rsidRDefault="00F067BD" w:rsidP="00D949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/>
          <w:b/>
          <w:sz w:val="28"/>
        </w:rPr>
      </w:pPr>
      <w:r w:rsidRPr="00913A7F">
        <w:rPr>
          <w:rFonts w:asciiTheme="minorHAnsi" w:hAnsiTheme="minorHAnsi"/>
          <w:b/>
          <w:sz w:val="28"/>
        </w:rPr>
        <w:t xml:space="preserve">Coordinated </w:t>
      </w:r>
      <w:r w:rsidR="00D949F6">
        <w:rPr>
          <w:rFonts w:asciiTheme="minorHAnsi" w:hAnsiTheme="minorHAnsi"/>
          <w:b/>
          <w:sz w:val="28"/>
        </w:rPr>
        <w:t xml:space="preserve">Community Response </w:t>
      </w:r>
    </w:p>
    <w:p w:rsidR="00DB373A" w:rsidRPr="00913A7F" w:rsidRDefault="00DB373A" w:rsidP="00913A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/>
          <w:b/>
          <w:sz w:val="28"/>
        </w:rPr>
      </w:pPr>
      <w:r w:rsidRPr="00913A7F">
        <w:rPr>
          <w:rFonts w:asciiTheme="minorHAnsi" w:hAnsiTheme="minorHAnsi"/>
          <w:b/>
          <w:sz w:val="28"/>
        </w:rPr>
        <w:t xml:space="preserve">Criminal Justice </w:t>
      </w:r>
      <w:r w:rsidR="00D949F6">
        <w:rPr>
          <w:rFonts w:asciiTheme="minorHAnsi" w:hAnsiTheme="minorHAnsi"/>
          <w:b/>
          <w:sz w:val="28"/>
        </w:rPr>
        <w:t xml:space="preserve">System Effort </w:t>
      </w:r>
    </w:p>
    <w:p w:rsidR="007D4499" w:rsidRDefault="007D4499" w:rsidP="00B342AA">
      <w:pPr>
        <w:jc w:val="center"/>
        <w:rPr>
          <w:rFonts w:asciiTheme="minorHAnsi" w:hAnsiTheme="minorHAnsi"/>
          <w:b/>
          <w:sz w:val="28"/>
          <w:lang w:bidi="x-none"/>
        </w:rPr>
      </w:pPr>
    </w:p>
    <w:p w:rsidR="006213A5" w:rsidRDefault="006213A5" w:rsidP="00D949F6">
      <w:pPr>
        <w:rPr>
          <w:rFonts w:asciiTheme="minorHAnsi" w:hAnsiTheme="minorHAnsi"/>
          <w:sz w:val="24"/>
          <w:szCs w:val="24"/>
          <w:lang w:bidi="x-none"/>
        </w:rPr>
      </w:pPr>
      <w:r>
        <w:rPr>
          <w:rFonts w:asciiTheme="minorHAnsi" w:hAnsiTheme="minorHAnsi"/>
          <w:sz w:val="24"/>
          <w:szCs w:val="24"/>
          <w:lang w:bidi="x-none"/>
        </w:rPr>
        <w:t xml:space="preserve">To enhance the </w:t>
      </w:r>
      <w:r w:rsidR="00D949F6">
        <w:rPr>
          <w:rFonts w:asciiTheme="minorHAnsi" w:hAnsiTheme="minorHAnsi"/>
          <w:sz w:val="24"/>
          <w:szCs w:val="24"/>
          <w:lang w:bidi="x-none"/>
        </w:rPr>
        <w:t>criminal justice system</w:t>
      </w:r>
      <w:r>
        <w:rPr>
          <w:rFonts w:asciiTheme="minorHAnsi" w:hAnsiTheme="minorHAnsi"/>
          <w:sz w:val="24"/>
          <w:szCs w:val="24"/>
          <w:lang w:bidi="x-none"/>
        </w:rPr>
        <w:t>’s capacity to protect</w:t>
      </w:r>
      <w:r w:rsidR="00D949F6">
        <w:rPr>
          <w:rFonts w:asciiTheme="minorHAnsi" w:hAnsiTheme="minorHAnsi"/>
          <w:sz w:val="24"/>
          <w:szCs w:val="24"/>
          <w:lang w:bidi="x-none"/>
        </w:rPr>
        <w:t xml:space="preserve"> </w:t>
      </w:r>
      <w:r>
        <w:rPr>
          <w:rFonts w:asciiTheme="minorHAnsi" w:hAnsiTheme="minorHAnsi"/>
          <w:sz w:val="24"/>
          <w:szCs w:val="24"/>
          <w:lang w:bidi="x-none"/>
        </w:rPr>
        <w:t xml:space="preserve">victims and hold offenders accountable in a coordinated community response </w:t>
      </w:r>
      <w:r w:rsidR="00CF19CA">
        <w:rPr>
          <w:rFonts w:asciiTheme="minorHAnsi" w:hAnsiTheme="minorHAnsi"/>
          <w:sz w:val="24"/>
          <w:szCs w:val="24"/>
          <w:lang w:bidi="x-none"/>
        </w:rPr>
        <w:t xml:space="preserve">or inter-agency effort </w:t>
      </w:r>
      <w:r>
        <w:rPr>
          <w:rFonts w:asciiTheme="minorHAnsi" w:hAnsiTheme="minorHAnsi"/>
          <w:sz w:val="24"/>
          <w:szCs w:val="24"/>
          <w:lang w:bidi="x-none"/>
        </w:rPr>
        <w:t xml:space="preserve">requires </w:t>
      </w:r>
      <w:r w:rsidR="00D949F6">
        <w:rPr>
          <w:rFonts w:asciiTheme="minorHAnsi" w:hAnsiTheme="minorHAnsi"/>
          <w:sz w:val="24"/>
          <w:szCs w:val="24"/>
          <w:lang w:bidi="x-none"/>
        </w:rPr>
        <w:t xml:space="preserve">the </w:t>
      </w:r>
      <w:r w:rsidR="00CF19CA">
        <w:rPr>
          <w:rFonts w:asciiTheme="minorHAnsi" w:hAnsiTheme="minorHAnsi"/>
          <w:sz w:val="24"/>
          <w:szCs w:val="24"/>
          <w:lang w:bidi="x-none"/>
        </w:rPr>
        <w:t xml:space="preserve">integration of a number of coordinator and advocacy functions.    </w:t>
      </w:r>
      <w:r w:rsidR="00D949F6" w:rsidRPr="00D949F6">
        <w:rPr>
          <w:rFonts w:asciiTheme="minorHAnsi" w:hAnsiTheme="minorHAnsi"/>
          <w:sz w:val="24"/>
          <w:szCs w:val="24"/>
          <w:lang w:bidi="x-none"/>
        </w:rPr>
        <w:t>T</w:t>
      </w:r>
      <w:r w:rsidR="00CF19CA">
        <w:rPr>
          <w:rFonts w:asciiTheme="minorHAnsi" w:hAnsiTheme="minorHAnsi"/>
          <w:sz w:val="24"/>
          <w:szCs w:val="24"/>
          <w:lang w:bidi="x-none"/>
        </w:rPr>
        <w:t>he</w:t>
      </w:r>
      <w:r w:rsidR="00D949F6" w:rsidRPr="00D949F6">
        <w:rPr>
          <w:rFonts w:asciiTheme="minorHAnsi" w:hAnsiTheme="minorHAnsi"/>
          <w:sz w:val="24"/>
          <w:szCs w:val="24"/>
          <w:lang w:bidi="x-none"/>
        </w:rPr>
        <w:t xml:space="preserve"> </w:t>
      </w:r>
      <w:r w:rsidR="00CF19CA">
        <w:rPr>
          <w:rFonts w:asciiTheme="minorHAnsi" w:hAnsiTheme="minorHAnsi"/>
          <w:sz w:val="24"/>
          <w:szCs w:val="24"/>
          <w:lang w:bidi="x-none"/>
        </w:rPr>
        <w:t xml:space="preserve">coordinator </w:t>
      </w:r>
      <w:r w:rsidR="00D949F6">
        <w:rPr>
          <w:rFonts w:asciiTheme="minorHAnsi" w:hAnsiTheme="minorHAnsi"/>
          <w:sz w:val="24"/>
          <w:szCs w:val="24"/>
          <w:lang w:bidi="x-none"/>
        </w:rPr>
        <w:t xml:space="preserve">position is best housed in the independent community-based advocacy </w:t>
      </w:r>
      <w:r w:rsidR="00CF19CA">
        <w:rPr>
          <w:rFonts w:asciiTheme="minorHAnsi" w:hAnsiTheme="minorHAnsi"/>
          <w:sz w:val="24"/>
          <w:szCs w:val="24"/>
          <w:lang w:bidi="x-none"/>
        </w:rPr>
        <w:t>program and the</w:t>
      </w:r>
      <w:r>
        <w:rPr>
          <w:rFonts w:asciiTheme="minorHAnsi" w:hAnsiTheme="minorHAnsi"/>
          <w:sz w:val="24"/>
          <w:szCs w:val="24"/>
          <w:lang w:bidi="x-none"/>
        </w:rPr>
        <w:t xml:space="preserve"> success of the CCR effort is also enhanced through the assumption of specialized legal advocacy functions within the </w:t>
      </w:r>
      <w:r w:rsidR="00CF19CA">
        <w:rPr>
          <w:rFonts w:asciiTheme="minorHAnsi" w:hAnsiTheme="minorHAnsi"/>
          <w:sz w:val="24"/>
          <w:szCs w:val="24"/>
          <w:lang w:bidi="x-none"/>
        </w:rPr>
        <w:t xml:space="preserve">same program. This assures that </w:t>
      </w:r>
      <w:r w:rsidR="00D02090">
        <w:rPr>
          <w:rFonts w:asciiTheme="minorHAnsi" w:hAnsiTheme="minorHAnsi"/>
          <w:sz w:val="24"/>
          <w:szCs w:val="24"/>
          <w:lang w:bidi="x-none"/>
        </w:rPr>
        <w:t xml:space="preserve">the </w:t>
      </w:r>
      <w:r w:rsidR="00CF19CA">
        <w:rPr>
          <w:rFonts w:asciiTheme="minorHAnsi" w:hAnsiTheme="minorHAnsi"/>
          <w:sz w:val="24"/>
          <w:szCs w:val="24"/>
          <w:lang w:bidi="x-none"/>
        </w:rPr>
        <w:t xml:space="preserve">safety </w:t>
      </w:r>
      <w:r w:rsidR="00D02090">
        <w:rPr>
          <w:rFonts w:asciiTheme="minorHAnsi" w:hAnsiTheme="minorHAnsi"/>
          <w:sz w:val="24"/>
          <w:szCs w:val="24"/>
          <w:lang w:bidi="x-none"/>
        </w:rPr>
        <w:t xml:space="preserve">needs of </w:t>
      </w:r>
      <w:r>
        <w:rPr>
          <w:rFonts w:asciiTheme="minorHAnsi" w:hAnsiTheme="minorHAnsi"/>
          <w:sz w:val="24"/>
          <w:szCs w:val="24"/>
          <w:lang w:bidi="x-none"/>
        </w:rPr>
        <w:t xml:space="preserve">individual victims </w:t>
      </w:r>
      <w:r w:rsidR="00D02090">
        <w:rPr>
          <w:rFonts w:asciiTheme="minorHAnsi" w:hAnsiTheme="minorHAnsi"/>
          <w:sz w:val="24"/>
          <w:szCs w:val="24"/>
          <w:lang w:bidi="x-none"/>
        </w:rPr>
        <w:t xml:space="preserve">and victim defendants as well as the collective needs of all victims who are impacted through the </w:t>
      </w:r>
      <w:r>
        <w:rPr>
          <w:rFonts w:asciiTheme="minorHAnsi" w:hAnsiTheme="minorHAnsi"/>
          <w:sz w:val="24"/>
          <w:szCs w:val="24"/>
          <w:lang w:bidi="x-none"/>
        </w:rPr>
        <w:t>law enforcement intervention</w:t>
      </w:r>
      <w:r w:rsidR="00CF19CA">
        <w:rPr>
          <w:rFonts w:asciiTheme="minorHAnsi" w:hAnsiTheme="minorHAnsi"/>
          <w:sz w:val="24"/>
          <w:szCs w:val="24"/>
          <w:lang w:bidi="x-none"/>
        </w:rPr>
        <w:t xml:space="preserve"> are met</w:t>
      </w:r>
      <w:r>
        <w:rPr>
          <w:rFonts w:asciiTheme="minorHAnsi" w:hAnsiTheme="minorHAnsi"/>
          <w:sz w:val="24"/>
          <w:szCs w:val="24"/>
          <w:lang w:bidi="x-none"/>
        </w:rPr>
        <w:t xml:space="preserve">. </w:t>
      </w:r>
    </w:p>
    <w:p w:rsidR="006213A5" w:rsidRDefault="006213A5" w:rsidP="00D949F6">
      <w:pPr>
        <w:rPr>
          <w:rFonts w:asciiTheme="minorHAnsi" w:hAnsiTheme="minorHAnsi"/>
          <w:sz w:val="24"/>
          <w:szCs w:val="24"/>
          <w:lang w:bidi="x-none"/>
        </w:rPr>
      </w:pPr>
      <w:r>
        <w:rPr>
          <w:rFonts w:asciiTheme="minorHAnsi" w:hAnsiTheme="minorHAnsi"/>
          <w:sz w:val="24"/>
          <w:szCs w:val="24"/>
          <w:lang w:bidi="x-none"/>
        </w:rPr>
        <w:t xml:space="preserve"> </w:t>
      </w:r>
    </w:p>
    <w:p w:rsidR="00D949F6" w:rsidRDefault="00D949F6" w:rsidP="00D949F6">
      <w:pPr>
        <w:rPr>
          <w:rFonts w:asciiTheme="minorHAnsi" w:hAnsiTheme="minorHAnsi"/>
          <w:sz w:val="24"/>
          <w:szCs w:val="24"/>
          <w:lang w:bidi="x-none"/>
        </w:rPr>
      </w:pPr>
      <w:r>
        <w:rPr>
          <w:rFonts w:asciiTheme="minorHAnsi" w:hAnsiTheme="minorHAnsi"/>
          <w:sz w:val="24"/>
          <w:szCs w:val="24"/>
          <w:lang w:bidi="x-none"/>
        </w:rPr>
        <w:t xml:space="preserve">Below is a list of which summarizes the various </w:t>
      </w:r>
      <w:r w:rsidR="00D02090">
        <w:rPr>
          <w:rFonts w:asciiTheme="minorHAnsi" w:hAnsiTheme="minorHAnsi"/>
          <w:sz w:val="24"/>
          <w:szCs w:val="24"/>
          <w:lang w:bidi="x-none"/>
        </w:rPr>
        <w:t xml:space="preserve">broad </w:t>
      </w:r>
      <w:r>
        <w:rPr>
          <w:rFonts w:asciiTheme="minorHAnsi" w:hAnsiTheme="minorHAnsi"/>
          <w:sz w:val="24"/>
          <w:szCs w:val="24"/>
          <w:lang w:bidi="x-none"/>
        </w:rPr>
        <w:t>functions</w:t>
      </w:r>
      <w:r w:rsidR="00D02090">
        <w:rPr>
          <w:rFonts w:asciiTheme="minorHAnsi" w:hAnsiTheme="minorHAnsi"/>
          <w:sz w:val="24"/>
          <w:szCs w:val="24"/>
          <w:lang w:bidi="x-none"/>
        </w:rPr>
        <w:t xml:space="preserve">/ activities for Community-based advocacy programs in a CCR or inter-agency effort. </w:t>
      </w:r>
      <w:r w:rsidR="00CF19CA">
        <w:rPr>
          <w:rFonts w:asciiTheme="minorHAnsi" w:hAnsiTheme="minorHAnsi"/>
          <w:sz w:val="24"/>
          <w:szCs w:val="24"/>
          <w:lang w:bidi="x-none"/>
        </w:rPr>
        <w:t xml:space="preserve">This is intended as a guide. Depending upon local conditions and resources, it may make sense to distribute tasks differently.   </w:t>
      </w:r>
    </w:p>
    <w:p w:rsidR="00D02090" w:rsidRPr="00D949F6" w:rsidRDefault="00D02090" w:rsidP="00D949F6">
      <w:pPr>
        <w:rPr>
          <w:rFonts w:asciiTheme="minorHAnsi" w:hAnsiTheme="minorHAnsi"/>
          <w:sz w:val="24"/>
          <w:szCs w:val="24"/>
          <w:lang w:bidi="x-none"/>
        </w:rPr>
      </w:pPr>
    </w:p>
    <w:p w:rsidR="00263BE8" w:rsidRPr="00DD1AFE" w:rsidRDefault="00676289" w:rsidP="00676289">
      <w:pPr>
        <w:rPr>
          <w:rFonts w:asciiTheme="minorHAnsi" w:hAnsiTheme="minorHAnsi"/>
          <w:b/>
          <w:sz w:val="24"/>
        </w:rPr>
      </w:pPr>
      <w:r w:rsidRPr="00DD1AFE">
        <w:rPr>
          <w:rFonts w:asciiTheme="minorHAnsi" w:hAnsiTheme="minorHAnsi"/>
          <w:b/>
          <w:sz w:val="24"/>
        </w:rPr>
        <w:t>A. Coor</w:t>
      </w:r>
      <w:r w:rsidR="00D949F6" w:rsidRPr="00DD1AFE">
        <w:rPr>
          <w:rFonts w:asciiTheme="minorHAnsi" w:hAnsiTheme="minorHAnsi"/>
          <w:b/>
          <w:sz w:val="24"/>
        </w:rPr>
        <w:t>dinator</w:t>
      </w:r>
      <w:r w:rsidR="00D02090" w:rsidRPr="00DD1AFE">
        <w:rPr>
          <w:rFonts w:asciiTheme="minorHAnsi" w:hAnsiTheme="minorHAnsi"/>
          <w:b/>
          <w:sz w:val="24"/>
        </w:rPr>
        <w:t xml:space="preserve"> .25 – 1 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2349AC" w:rsidRPr="00913A7F" w:rsidTr="002349AC">
        <w:tc>
          <w:tcPr>
            <w:tcW w:w="10998" w:type="dxa"/>
            <w:vAlign w:val="center"/>
          </w:tcPr>
          <w:p w:rsidR="002349AC" w:rsidRDefault="002349AC" w:rsidP="002349AC">
            <w:pPr>
              <w:rPr>
                <w:rFonts w:asciiTheme="minorHAnsi" w:hAnsiTheme="minorHAnsi"/>
                <w:b/>
                <w:sz w:val="24"/>
              </w:rPr>
            </w:pPr>
          </w:p>
          <w:p w:rsidR="002349AC" w:rsidRPr="00913A7F" w:rsidRDefault="002349AC" w:rsidP="008C4938">
            <w:pPr>
              <w:rPr>
                <w:rFonts w:asciiTheme="minorHAnsi" w:hAnsiTheme="minorHAnsi"/>
                <w:b/>
                <w:sz w:val="24"/>
              </w:rPr>
            </w:pPr>
            <w:r w:rsidRPr="00913A7F">
              <w:rPr>
                <w:rFonts w:asciiTheme="minorHAnsi" w:hAnsiTheme="minorHAnsi"/>
                <w:b/>
                <w:sz w:val="24"/>
              </w:rPr>
              <w:t>1. Ongo</w:t>
            </w:r>
            <w:r>
              <w:rPr>
                <w:rFonts w:asciiTheme="minorHAnsi" w:hAnsiTheme="minorHAnsi"/>
                <w:b/>
                <w:sz w:val="24"/>
              </w:rPr>
              <w:t xml:space="preserve">ing 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8C4938" w:rsidP="00E038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Identify, d</w:t>
            </w:r>
            <w:r w:rsidR="002349AC" w:rsidRPr="002349AC">
              <w:rPr>
                <w:rFonts w:asciiTheme="minorHAnsi" w:hAnsiTheme="minorHAnsi"/>
              </w:rPr>
              <w:t>ocument</w:t>
            </w:r>
            <w:r w:rsidR="00E03805">
              <w:rPr>
                <w:rFonts w:asciiTheme="minorHAnsi" w:hAnsiTheme="minorHAnsi"/>
              </w:rPr>
              <w:t xml:space="preserve">, analyze, consult regarding </w:t>
            </w:r>
            <w:r w:rsidR="002349AC" w:rsidRPr="002349AC">
              <w:rPr>
                <w:rFonts w:asciiTheme="minorHAnsi" w:hAnsiTheme="minorHAnsi"/>
              </w:rPr>
              <w:t xml:space="preserve">response problems 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8C4938" w:rsidP="008C493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Research/ understand </w:t>
            </w:r>
            <w:r w:rsidR="002349AC" w:rsidRPr="002349AC">
              <w:rPr>
                <w:rFonts w:asciiTheme="minorHAnsi" w:hAnsiTheme="minorHAnsi"/>
              </w:rPr>
              <w:t xml:space="preserve">laws, local policies, procedures, protocols that </w:t>
            </w:r>
            <w:r>
              <w:rPr>
                <w:rFonts w:asciiTheme="minorHAnsi" w:hAnsiTheme="minorHAnsi"/>
              </w:rPr>
              <w:t>govern/</w:t>
            </w:r>
            <w:r w:rsidR="002349AC" w:rsidRPr="002349AC">
              <w:rPr>
                <w:rFonts w:asciiTheme="minorHAnsi" w:hAnsiTheme="minorHAnsi"/>
              </w:rPr>
              <w:t>organize current responses</w:t>
            </w:r>
          </w:p>
        </w:tc>
      </w:tr>
      <w:tr w:rsidR="00A30CC9" w:rsidRPr="00913A7F" w:rsidTr="002349AC">
        <w:tc>
          <w:tcPr>
            <w:tcW w:w="10998" w:type="dxa"/>
          </w:tcPr>
          <w:p w:rsidR="00A30CC9" w:rsidRPr="002349AC" w:rsidRDefault="008C4938" w:rsidP="008C493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Interview/ </w:t>
            </w:r>
            <w:r w:rsidR="00A30CC9">
              <w:rPr>
                <w:rFonts w:asciiTheme="minorHAnsi" w:hAnsiTheme="minorHAnsi"/>
              </w:rPr>
              <w:t>observe</w:t>
            </w:r>
            <w:r>
              <w:rPr>
                <w:rFonts w:asciiTheme="minorHAnsi" w:hAnsiTheme="minorHAnsi"/>
              </w:rPr>
              <w:t xml:space="preserve"> practitioners</w:t>
            </w:r>
            <w:r w:rsidR="00A30CC9">
              <w:rPr>
                <w:rFonts w:asciiTheme="minorHAnsi" w:hAnsiTheme="minorHAnsi"/>
              </w:rPr>
              <w:t xml:space="preserve">, understand </w:t>
            </w:r>
            <w:r>
              <w:rPr>
                <w:rFonts w:asciiTheme="minorHAnsi" w:hAnsiTheme="minorHAnsi"/>
              </w:rPr>
              <w:t xml:space="preserve">problem from perspective of system 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D0209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>Track</w:t>
            </w:r>
            <w:r w:rsidR="00E03805">
              <w:rPr>
                <w:rFonts w:asciiTheme="minorHAnsi" w:hAnsiTheme="minorHAnsi"/>
              </w:rPr>
              <w:t xml:space="preserve"> and monitor</w:t>
            </w:r>
            <w:r w:rsidRPr="002349AC">
              <w:rPr>
                <w:rFonts w:asciiTheme="minorHAnsi" w:hAnsiTheme="minorHAnsi"/>
              </w:rPr>
              <w:t xml:space="preserve"> all cases through the system</w:t>
            </w:r>
          </w:p>
        </w:tc>
      </w:tr>
      <w:tr w:rsidR="002349AC" w:rsidRPr="00913A7F" w:rsidTr="002349AC">
        <w:trPr>
          <w:trHeight w:val="368"/>
        </w:trPr>
        <w:tc>
          <w:tcPr>
            <w:tcW w:w="10998" w:type="dxa"/>
          </w:tcPr>
          <w:p w:rsidR="002349AC" w:rsidRPr="002349AC" w:rsidRDefault="002349AC" w:rsidP="00D0209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>Produce statistical reports of law enforcement and criminal justice system response from tracking and monitoring activities</w:t>
            </w:r>
          </w:p>
        </w:tc>
      </w:tr>
      <w:tr w:rsidR="002349AC" w:rsidRPr="00913A7F" w:rsidTr="002349AC">
        <w:trPr>
          <w:trHeight w:val="368"/>
        </w:trPr>
        <w:tc>
          <w:tcPr>
            <w:tcW w:w="10998" w:type="dxa"/>
          </w:tcPr>
          <w:p w:rsidR="002349AC" w:rsidRPr="002349AC" w:rsidRDefault="002349AC" w:rsidP="00D0209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 xml:space="preserve">Consult state, national resources, research to identify </w:t>
            </w:r>
            <w:r w:rsidRPr="008C4938">
              <w:rPr>
                <w:rFonts w:asciiTheme="minorHAnsi" w:hAnsiTheme="minorHAnsi"/>
                <w:b/>
              </w:rPr>
              <w:t>best practices,</w:t>
            </w:r>
            <w:r w:rsidRPr="002349AC">
              <w:rPr>
                <w:rFonts w:asciiTheme="minorHAnsi" w:hAnsiTheme="minorHAnsi"/>
              </w:rPr>
              <w:t xml:space="preserve"> strategies, solutions to existing gaps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E03805" w:rsidP="00E038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>Gain support of responsible agency decision-makers to enhance local responses through development/ modification of  local policy, procedures, protocols to include best practices</w:t>
            </w:r>
            <w:r w:rsidRPr="002349AC">
              <w:rPr>
                <w:rFonts w:asciiTheme="minorHAnsi" w:hAnsiTheme="minorHAnsi"/>
              </w:rPr>
              <w:t xml:space="preserve"> 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E03805" w:rsidP="00D0209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>Review best practices with wider reference group to identify adaptability to local conditions and avoid unintended consequences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D0209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 xml:space="preserve">Coordinate/ facilitate ad hoc meetings to enhance and evaluate policy 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D0209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>Coordinate information sharing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D0209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 xml:space="preserve">Coordinate/ facilitate inter-agency meetings 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D0209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>Identify and document deviations of policy and address with appropriate agency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D0209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>Provide ongoing evaluation, address concerns, promote success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D0209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>Promote community support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D0209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i/>
              </w:rPr>
            </w:pPr>
            <w:r w:rsidRPr="002349AC">
              <w:rPr>
                <w:rFonts w:asciiTheme="minorHAnsi" w:hAnsiTheme="minorHAnsi"/>
                <w:i/>
              </w:rPr>
              <w:t xml:space="preserve">Other: 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Default="002349AC" w:rsidP="00CE08B9">
            <w:pPr>
              <w:rPr>
                <w:rFonts w:asciiTheme="minorHAnsi" w:hAnsiTheme="minorHAnsi"/>
                <w:b/>
                <w:sz w:val="24"/>
              </w:rPr>
            </w:pPr>
          </w:p>
          <w:p w:rsidR="008C4938" w:rsidRDefault="008C4938" w:rsidP="00CE08B9">
            <w:pPr>
              <w:rPr>
                <w:rFonts w:asciiTheme="minorHAnsi" w:hAnsiTheme="minorHAnsi"/>
                <w:b/>
                <w:sz w:val="24"/>
              </w:rPr>
            </w:pPr>
          </w:p>
          <w:p w:rsidR="008C4938" w:rsidRDefault="008C4938" w:rsidP="00CE08B9">
            <w:pPr>
              <w:rPr>
                <w:rFonts w:asciiTheme="minorHAnsi" w:hAnsiTheme="minorHAnsi"/>
                <w:b/>
                <w:sz w:val="24"/>
              </w:rPr>
            </w:pPr>
          </w:p>
          <w:p w:rsidR="008C4938" w:rsidRDefault="008C4938" w:rsidP="00CE08B9">
            <w:pPr>
              <w:rPr>
                <w:rFonts w:asciiTheme="minorHAnsi" w:hAnsiTheme="minorHAnsi"/>
                <w:b/>
                <w:sz w:val="24"/>
              </w:rPr>
            </w:pPr>
          </w:p>
          <w:p w:rsidR="008C4938" w:rsidRPr="00913A7F" w:rsidRDefault="008C4938" w:rsidP="00CE08B9">
            <w:pPr>
              <w:rPr>
                <w:rFonts w:asciiTheme="minorHAnsi" w:hAnsiTheme="minorHAnsi"/>
                <w:b/>
                <w:sz w:val="24"/>
              </w:rPr>
            </w:pPr>
          </w:p>
          <w:p w:rsidR="009803CD" w:rsidRDefault="009803CD" w:rsidP="00676289">
            <w:pPr>
              <w:rPr>
                <w:rFonts w:asciiTheme="minorHAnsi" w:hAnsiTheme="minorHAnsi"/>
                <w:b/>
                <w:sz w:val="24"/>
              </w:rPr>
            </w:pPr>
          </w:p>
          <w:p w:rsidR="002349AC" w:rsidRPr="00913A7F" w:rsidRDefault="002349AC" w:rsidP="00676289">
            <w:pPr>
              <w:rPr>
                <w:rFonts w:asciiTheme="minorHAnsi" w:hAnsiTheme="minorHAnsi"/>
                <w:b/>
                <w:sz w:val="24"/>
              </w:rPr>
            </w:pPr>
            <w:r w:rsidRPr="00913A7F">
              <w:rPr>
                <w:rFonts w:asciiTheme="minorHAnsi" w:hAnsiTheme="minorHAnsi"/>
                <w:b/>
                <w:sz w:val="24"/>
              </w:rPr>
              <w:lastRenderedPageBreak/>
              <w:t xml:space="preserve">2. “Best Practice” policy, procedure, protocol development </w:t>
            </w:r>
            <w:r w:rsidR="00D02090">
              <w:rPr>
                <w:rFonts w:asciiTheme="minorHAnsi" w:hAnsiTheme="minorHAnsi"/>
                <w:b/>
                <w:sz w:val="24"/>
              </w:rPr>
              <w:t>with criminal justice agencies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CF19C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i/>
              </w:rPr>
            </w:pPr>
            <w:r w:rsidRPr="002349AC">
              <w:rPr>
                <w:rFonts w:asciiTheme="minorHAnsi" w:hAnsiTheme="minorHAnsi"/>
              </w:rPr>
              <w:lastRenderedPageBreak/>
              <w:t xml:space="preserve">Agreement for advocacy- law enforcement linkage to provide Advocacy-initiated Response 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CF19C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 xml:space="preserve">Advocacy- Prosecution Working Agreement 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CF19C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>Agreements for sharing data needed for tracking / monitoring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CF19C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>Law enforcement policy, procedure, protocol, checklist to incorporate attention to risk/safety, threats</w:t>
            </w:r>
            <w:r w:rsidR="008C4938">
              <w:rPr>
                <w:rFonts w:asciiTheme="minorHAnsi" w:hAnsiTheme="minorHAnsi"/>
              </w:rPr>
              <w:t xml:space="preserve"> to victim for cooperation with system</w:t>
            </w:r>
            <w:r w:rsidRPr="002349AC">
              <w:rPr>
                <w:rFonts w:asciiTheme="minorHAnsi" w:hAnsiTheme="minorHAnsi"/>
              </w:rPr>
              <w:t xml:space="preserve"> 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CF19C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>Law enforcement/ dispatch/ jail policy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CF19C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349AC">
              <w:rPr>
                <w:rFonts w:asciiTheme="minorHAnsi" w:hAnsiTheme="minorHAnsi"/>
              </w:rPr>
              <w:t xml:space="preserve">Other </w:t>
            </w:r>
            <w:r w:rsidR="00CF19CA">
              <w:rPr>
                <w:rFonts w:asciiTheme="minorHAnsi" w:hAnsiTheme="minorHAnsi"/>
              </w:rPr>
              <w:t xml:space="preserve">criminal justice </w:t>
            </w:r>
            <w:r w:rsidRPr="002349AC">
              <w:rPr>
                <w:rFonts w:asciiTheme="minorHAnsi" w:hAnsiTheme="minorHAnsi"/>
              </w:rPr>
              <w:t>agen</w:t>
            </w:r>
            <w:r w:rsidR="00CF19CA">
              <w:rPr>
                <w:rFonts w:asciiTheme="minorHAnsi" w:hAnsiTheme="minorHAnsi"/>
              </w:rPr>
              <w:t>cy policy, protocol, procedures</w:t>
            </w:r>
          </w:p>
        </w:tc>
      </w:tr>
      <w:tr w:rsidR="002349AC" w:rsidRPr="00913A7F" w:rsidTr="002349AC">
        <w:tc>
          <w:tcPr>
            <w:tcW w:w="10998" w:type="dxa"/>
          </w:tcPr>
          <w:p w:rsidR="002349AC" w:rsidRPr="002349AC" w:rsidRDefault="002349AC" w:rsidP="00CF19C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i/>
              </w:rPr>
            </w:pPr>
            <w:r w:rsidRPr="002349AC">
              <w:rPr>
                <w:rFonts w:asciiTheme="minorHAnsi" w:hAnsiTheme="minorHAnsi"/>
                <w:i/>
              </w:rPr>
              <w:t>Other:</w:t>
            </w:r>
          </w:p>
        </w:tc>
      </w:tr>
    </w:tbl>
    <w:p w:rsidR="0028010C" w:rsidRPr="007434DF" w:rsidRDefault="0028010C" w:rsidP="00D410BA">
      <w:pPr>
        <w:rPr>
          <w:rFonts w:asciiTheme="minorHAnsi" w:hAnsiTheme="minorHAnsi"/>
          <w:b/>
          <w:sz w:val="28"/>
        </w:rPr>
      </w:pPr>
    </w:p>
    <w:p w:rsidR="00F948BD" w:rsidRPr="00DD1AFE" w:rsidRDefault="00676289" w:rsidP="00676289">
      <w:pPr>
        <w:rPr>
          <w:rFonts w:asciiTheme="minorHAnsi" w:hAnsiTheme="minorHAnsi"/>
          <w:b/>
          <w:sz w:val="24"/>
        </w:rPr>
      </w:pPr>
      <w:r w:rsidRPr="00DD1AFE">
        <w:rPr>
          <w:rFonts w:asciiTheme="minorHAnsi" w:hAnsiTheme="minorHAnsi"/>
          <w:b/>
          <w:sz w:val="24"/>
        </w:rPr>
        <w:t xml:space="preserve">B. </w:t>
      </w:r>
      <w:r w:rsidR="00D02090" w:rsidRPr="00DD1AFE">
        <w:rPr>
          <w:rFonts w:asciiTheme="minorHAnsi" w:hAnsiTheme="minorHAnsi"/>
          <w:b/>
          <w:sz w:val="24"/>
        </w:rPr>
        <w:t>Legal / Institutional Advocate</w:t>
      </w:r>
      <w:r w:rsidR="00BD1A92">
        <w:rPr>
          <w:rFonts w:asciiTheme="minorHAnsi" w:hAnsiTheme="minorHAnsi"/>
          <w:b/>
          <w:sz w:val="24"/>
        </w:rPr>
        <w:t xml:space="preserve"> - .25 – 1 FTE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D949F6" w:rsidRPr="00913A7F" w:rsidTr="00D949F6">
        <w:tc>
          <w:tcPr>
            <w:tcW w:w="10998" w:type="dxa"/>
          </w:tcPr>
          <w:p w:rsidR="007434DF" w:rsidRDefault="007434DF" w:rsidP="00D02090">
            <w:pPr>
              <w:rPr>
                <w:rFonts w:asciiTheme="minorHAnsi" w:hAnsiTheme="minorHAnsi"/>
                <w:b/>
                <w:sz w:val="24"/>
              </w:rPr>
            </w:pPr>
          </w:p>
          <w:p w:rsidR="00D949F6" w:rsidRPr="00913A7F" w:rsidRDefault="007434DF" w:rsidP="00676289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  <w:r w:rsidR="00D02090" w:rsidRPr="00913A7F">
              <w:rPr>
                <w:rFonts w:asciiTheme="minorHAnsi" w:hAnsiTheme="minorHAnsi"/>
                <w:b/>
                <w:sz w:val="24"/>
              </w:rPr>
              <w:t>. Advocacy</w:t>
            </w:r>
            <w:r w:rsidR="00DD1AFE">
              <w:rPr>
                <w:rFonts w:asciiTheme="minorHAnsi" w:hAnsiTheme="minorHAnsi"/>
                <w:b/>
                <w:sz w:val="24"/>
              </w:rPr>
              <w:t>-</w:t>
            </w:r>
            <w:r w:rsidR="00D02090" w:rsidRPr="00913A7F">
              <w:rPr>
                <w:rFonts w:asciiTheme="minorHAnsi" w:hAnsiTheme="minorHAnsi"/>
                <w:b/>
                <w:sz w:val="24"/>
              </w:rPr>
              <w:t xml:space="preserve"> initiated </w:t>
            </w:r>
            <w:r w:rsidR="00D02090">
              <w:rPr>
                <w:rFonts w:asciiTheme="minorHAnsi" w:hAnsiTheme="minorHAnsi"/>
                <w:b/>
                <w:sz w:val="24"/>
              </w:rPr>
              <w:t>response</w:t>
            </w:r>
          </w:p>
        </w:tc>
      </w:tr>
      <w:tr w:rsidR="00D02090" w:rsidRPr="00913A7F" w:rsidTr="00D949F6">
        <w:tc>
          <w:tcPr>
            <w:tcW w:w="10998" w:type="dxa"/>
          </w:tcPr>
          <w:p w:rsidR="00D02090" w:rsidRPr="009803CD" w:rsidRDefault="00D02090" w:rsidP="009803C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  <w:r w:rsidRPr="009803CD">
              <w:rPr>
                <w:rFonts w:asciiTheme="minorHAnsi" w:hAnsiTheme="minorHAnsi"/>
              </w:rPr>
              <w:t xml:space="preserve">Contact victims immediately </w:t>
            </w:r>
            <w:r w:rsidR="00DD1AFE" w:rsidRPr="009803CD">
              <w:rPr>
                <w:rFonts w:asciiTheme="minorHAnsi" w:hAnsiTheme="minorHAnsi"/>
              </w:rPr>
              <w:t xml:space="preserve">(asap) </w:t>
            </w:r>
            <w:r w:rsidRPr="009803CD">
              <w:rPr>
                <w:rFonts w:asciiTheme="minorHAnsi" w:hAnsiTheme="minorHAnsi"/>
              </w:rPr>
              <w:t xml:space="preserve">after arrest        </w:t>
            </w:r>
          </w:p>
        </w:tc>
      </w:tr>
      <w:tr w:rsidR="00D02090" w:rsidRPr="00913A7F" w:rsidTr="00D949F6">
        <w:tc>
          <w:tcPr>
            <w:tcW w:w="10998" w:type="dxa"/>
          </w:tcPr>
          <w:p w:rsidR="00D02090" w:rsidRPr="009803CD" w:rsidRDefault="00D02090" w:rsidP="009803C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9803CD">
              <w:rPr>
                <w:rFonts w:asciiTheme="minorHAnsi" w:hAnsiTheme="minorHAnsi"/>
              </w:rPr>
              <w:t>Contact victims of ongoing domestic violence asap who were arrested for illegal use of violence or were erroneously arrested due to law enforcement failure to identify self-defense acts or predominant aggressor</w:t>
            </w:r>
          </w:p>
        </w:tc>
      </w:tr>
      <w:tr w:rsidR="00D02090" w:rsidRPr="00913A7F" w:rsidTr="00D949F6">
        <w:tc>
          <w:tcPr>
            <w:tcW w:w="10998" w:type="dxa"/>
          </w:tcPr>
          <w:p w:rsidR="00D02090" w:rsidRPr="009803CD" w:rsidRDefault="00D02090" w:rsidP="009803C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</w:rPr>
            </w:pPr>
            <w:r w:rsidRPr="009803CD">
              <w:rPr>
                <w:rFonts w:asciiTheme="minorHAnsi" w:hAnsiTheme="minorHAnsi"/>
              </w:rPr>
              <w:t>Contact non-arrest victims within a week of</w:t>
            </w:r>
            <w:r w:rsidR="007434DF" w:rsidRPr="009803CD">
              <w:rPr>
                <w:rFonts w:asciiTheme="minorHAnsi" w:hAnsiTheme="minorHAnsi"/>
              </w:rPr>
              <w:t xml:space="preserve"> law enforcement contact</w:t>
            </w:r>
          </w:p>
        </w:tc>
      </w:tr>
      <w:tr w:rsidR="00D02090" w:rsidRPr="00913A7F" w:rsidTr="00D949F6">
        <w:tc>
          <w:tcPr>
            <w:tcW w:w="10998" w:type="dxa"/>
          </w:tcPr>
          <w:p w:rsidR="00D02090" w:rsidRPr="009803CD" w:rsidRDefault="00D02090" w:rsidP="009803C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9803CD">
              <w:rPr>
                <w:rFonts w:asciiTheme="minorHAnsi" w:hAnsiTheme="minorHAnsi"/>
              </w:rPr>
              <w:t>Maintain contact with victim throughout court process</w:t>
            </w:r>
          </w:p>
        </w:tc>
      </w:tr>
      <w:tr w:rsidR="00D02090" w:rsidRPr="00913A7F" w:rsidTr="00D949F6">
        <w:tc>
          <w:tcPr>
            <w:tcW w:w="10998" w:type="dxa"/>
          </w:tcPr>
          <w:p w:rsidR="00D02090" w:rsidRPr="009803CD" w:rsidRDefault="00D02090" w:rsidP="009803C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i/>
              </w:rPr>
            </w:pPr>
            <w:r w:rsidRPr="009803CD">
              <w:rPr>
                <w:rFonts w:asciiTheme="minorHAnsi" w:hAnsiTheme="minorHAnsi"/>
              </w:rPr>
              <w:t>Contact law enforcement liaison to discuss concerns on individual cases</w:t>
            </w:r>
          </w:p>
        </w:tc>
      </w:tr>
      <w:tr w:rsidR="00D02090" w:rsidRPr="00913A7F" w:rsidTr="00D949F6">
        <w:tc>
          <w:tcPr>
            <w:tcW w:w="10998" w:type="dxa"/>
          </w:tcPr>
          <w:p w:rsidR="00D02090" w:rsidRPr="009803CD" w:rsidRDefault="00077155" w:rsidP="009803C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  <w:r w:rsidRPr="009803CD">
              <w:rPr>
                <w:rFonts w:asciiTheme="minorHAnsi" w:hAnsiTheme="minorHAnsi"/>
              </w:rPr>
              <w:t>Document and address response concerns / deviations of policy</w:t>
            </w:r>
          </w:p>
        </w:tc>
      </w:tr>
      <w:tr w:rsidR="00D02090" w:rsidRPr="00913A7F" w:rsidTr="00D949F6">
        <w:tc>
          <w:tcPr>
            <w:tcW w:w="10998" w:type="dxa"/>
          </w:tcPr>
          <w:p w:rsidR="00D02090" w:rsidRPr="009803CD" w:rsidRDefault="007434DF" w:rsidP="009803C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9803CD">
              <w:rPr>
                <w:rFonts w:asciiTheme="minorHAnsi" w:hAnsiTheme="minorHAnsi"/>
                <w:i/>
              </w:rPr>
              <w:t>Other</w:t>
            </w:r>
          </w:p>
        </w:tc>
      </w:tr>
      <w:tr w:rsidR="00D02090" w:rsidRPr="00913A7F" w:rsidTr="00D949F6">
        <w:tc>
          <w:tcPr>
            <w:tcW w:w="10998" w:type="dxa"/>
          </w:tcPr>
          <w:p w:rsidR="00D02090" w:rsidRDefault="00D02090" w:rsidP="00D91457">
            <w:pPr>
              <w:rPr>
                <w:rFonts w:asciiTheme="minorHAnsi" w:hAnsiTheme="minorHAnsi"/>
                <w:sz w:val="24"/>
              </w:rPr>
            </w:pPr>
          </w:p>
          <w:p w:rsidR="007434DF" w:rsidRPr="009803CD" w:rsidRDefault="007434DF" w:rsidP="00D91457">
            <w:pPr>
              <w:rPr>
                <w:rFonts w:asciiTheme="minorHAnsi" w:hAnsiTheme="minorHAnsi"/>
                <w:b/>
                <w:sz w:val="24"/>
              </w:rPr>
            </w:pPr>
            <w:r w:rsidRPr="00CF19CA">
              <w:rPr>
                <w:rFonts w:asciiTheme="minorHAnsi" w:hAnsiTheme="minorHAnsi"/>
                <w:b/>
                <w:sz w:val="24"/>
              </w:rPr>
              <w:t>2.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 xml:space="preserve">Institutional advocacy </w:t>
            </w:r>
          </w:p>
        </w:tc>
      </w:tr>
      <w:tr w:rsidR="00D02090" w:rsidRPr="00913A7F" w:rsidTr="00D949F6">
        <w:tc>
          <w:tcPr>
            <w:tcW w:w="10998" w:type="dxa"/>
          </w:tcPr>
          <w:p w:rsidR="00D02090" w:rsidRPr="009803CD" w:rsidRDefault="007434DF" w:rsidP="009803C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9803CD">
              <w:rPr>
                <w:rFonts w:asciiTheme="minorHAnsi" w:hAnsiTheme="minorHAnsi"/>
              </w:rPr>
              <w:t>Identify and document response problems for victims in the legal system</w:t>
            </w:r>
          </w:p>
        </w:tc>
      </w:tr>
      <w:tr w:rsidR="00D02090" w:rsidRPr="00913A7F" w:rsidTr="00D949F6">
        <w:tc>
          <w:tcPr>
            <w:tcW w:w="10998" w:type="dxa"/>
          </w:tcPr>
          <w:p w:rsidR="00D02090" w:rsidRPr="009803CD" w:rsidRDefault="007434DF" w:rsidP="009803C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9803CD">
              <w:rPr>
                <w:rFonts w:asciiTheme="minorHAnsi" w:hAnsiTheme="minorHAnsi"/>
              </w:rPr>
              <w:t>Work with coordinator to effectively resolve problems through your CCR</w:t>
            </w:r>
          </w:p>
        </w:tc>
      </w:tr>
      <w:tr w:rsidR="00D02090" w:rsidRPr="00913A7F" w:rsidTr="00D949F6">
        <w:tc>
          <w:tcPr>
            <w:tcW w:w="10998" w:type="dxa"/>
          </w:tcPr>
          <w:p w:rsidR="00D02090" w:rsidRPr="009803CD" w:rsidRDefault="007434DF" w:rsidP="009803C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9803CD">
              <w:rPr>
                <w:rFonts w:asciiTheme="minorHAnsi" w:hAnsiTheme="minorHAnsi"/>
                <w:bCs/>
              </w:rPr>
              <w:t>Assure that potential solutions work for all women, regardless of race, culture, class, etc.</w:t>
            </w:r>
          </w:p>
        </w:tc>
      </w:tr>
      <w:tr w:rsidR="00D02090" w:rsidRPr="00913A7F" w:rsidTr="00D949F6">
        <w:tc>
          <w:tcPr>
            <w:tcW w:w="10998" w:type="dxa"/>
          </w:tcPr>
          <w:p w:rsidR="00D02090" w:rsidRPr="009803CD" w:rsidRDefault="007434DF" w:rsidP="009803C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9803CD">
              <w:rPr>
                <w:rFonts w:asciiTheme="minorHAnsi" w:hAnsiTheme="minorHAnsi"/>
                <w:bCs/>
              </w:rPr>
              <w:t>Provide opportunities for battered women’s involvement in CCR/ social change efforts</w:t>
            </w:r>
          </w:p>
        </w:tc>
      </w:tr>
      <w:tr w:rsidR="00D02090" w:rsidRPr="00913A7F" w:rsidTr="00D949F6">
        <w:tc>
          <w:tcPr>
            <w:tcW w:w="10998" w:type="dxa"/>
          </w:tcPr>
          <w:p w:rsidR="00D02090" w:rsidRPr="009803CD" w:rsidRDefault="007434DF" w:rsidP="009803C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i/>
              </w:rPr>
            </w:pPr>
            <w:r w:rsidRPr="009803CD">
              <w:rPr>
                <w:rFonts w:asciiTheme="minorHAnsi" w:hAnsiTheme="minorHAnsi"/>
                <w:bCs/>
                <w:i/>
              </w:rPr>
              <w:t>Other:</w:t>
            </w:r>
          </w:p>
        </w:tc>
      </w:tr>
    </w:tbl>
    <w:p w:rsidR="00C6392E" w:rsidRPr="00BD1A92" w:rsidRDefault="00C6392E" w:rsidP="00C6392E">
      <w:pPr>
        <w:ind w:left="360"/>
        <w:rPr>
          <w:rFonts w:asciiTheme="minorHAnsi" w:hAnsiTheme="minorHAnsi"/>
          <w:b/>
          <w:sz w:val="22"/>
        </w:rPr>
      </w:pPr>
    </w:p>
    <w:p w:rsidR="007434DF" w:rsidRPr="00BD1A92" w:rsidRDefault="00CF19CA" w:rsidP="007434DF">
      <w:pPr>
        <w:rPr>
          <w:rFonts w:asciiTheme="minorHAnsi" w:hAnsiTheme="minorHAnsi"/>
          <w:b/>
          <w:sz w:val="24"/>
        </w:rPr>
      </w:pPr>
      <w:r w:rsidRPr="00BD1A92">
        <w:rPr>
          <w:rFonts w:asciiTheme="minorHAnsi" w:hAnsiTheme="minorHAnsi"/>
          <w:b/>
          <w:sz w:val="24"/>
        </w:rPr>
        <w:t>C. Advocacy program management</w:t>
      </w:r>
      <w:r w:rsidR="007434DF" w:rsidRPr="00BD1A92">
        <w:rPr>
          <w:rFonts w:asciiTheme="minorHAnsi" w:hAnsiTheme="minorHAnsi"/>
          <w:b/>
          <w:sz w:val="24"/>
        </w:rPr>
        <w:t>, supervisors</w:t>
      </w:r>
      <w:r w:rsidR="00BD1A92">
        <w:rPr>
          <w:rFonts w:asciiTheme="minorHAnsi" w:hAnsiTheme="minorHAnsi"/>
          <w:b/>
          <w:sz w:val="24"/>
        </w:rPr>
        <w:t xml:space="preserve"> - .025 - .05 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7434DF" w:rsidRPr="00913A7F" w:rsidTr="00283D72">
        <w:tc>
          <w:tcPr>
            <w:tcW w:w="10998" w:type="dxa"/>
          </w:tcPr>
          <w:p w:rsidR="007434DF" w:rsidRPr="00913A7F" w:rsidRDefault="007434DF" w:rsidP="00283D72">
            <w:pPr>
              <w:rPr>
                <w:rFonts w:asciiTheme="minorHAnsi" w:hAnsiTheme="minorHAnsi"/>
                <w:b/>
                <w:sz w:val="24"/>
              </w:rPr>
            </w:pPr>
          </w:p>
          <w:p w:rsidR="007434DF" w:rsidRPr="009803CD" w:rsidRDefault="007434DF" w:rsidP="00283D72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  <w:r w:rsidRPr="00913A7F">
              <w:rPr>
                <w:rFonts w:asciiTheme="minorHAnsi" w:hAnsiTheme="minorHAnsi"/>
                <w:b/>
                <w:sz w:val="24"/>
              </w:rPr>
              <w:t xml:space="preserve">. </w:t>
            </w:r>
            <w:r>
              <w:rPr>
                <w:rFonts w:asciiTheme="minorHAnsi" w:hAnsiTheme="minorHAnsi"/>
                <w:b/>
                <w:sz w:val="24"/>
              </w:rPr>
              <w:t xml:space="preserve">Internal </w:t>
            </w:r>
            <w:r w:rsidRPr="00913A7F">
              <w:rPr>
                <w:rFonts w:asciiTheme="minorHAnsi" w:hAnsiTheme="minorHAnsi"/>
                <w:b/>
                <w:sz w:val="24"/>
              </w:rPr>
              <w:t>policy, procedure, protocol development</w:t>
            </w:r>
          </w:p>
        </w:tc>
      </w:tr>
      <w:tr w:rsidR="00DD1AFE" w:rsidRPr="00913A7F" w:rsidTr="006123DF">
        <w:trPr>
          <w:trHeight w:val="368"/>
        </w:trPr>
        <w:tc>
          <w:tcPr>
            <w:tcW w:w="10998" w:type="dxa"/>
          </w:tcPr>
          <w:p w:rsidR="00DD1AFE" w:rsidRPr="00DD1AFE" w:rsidRDefault="00DD1AFE" w:rsidP="00DD1AF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D1AFE">
              <w:rPr>
                <w:rFonts w:asciiTheme="minorHAnsi" w:hAnsiTheme="minorHAnsi"/>
              </w:rPr>
              <w:t xml:space="preserve">Job descriptions, procedures, forms for </w:t>
            </w:r>
          </w:p>
        </w:tc>
      </w:tr>
      <w:tr w:rsidR="007434DF" w:rsidRPr="00913A7F" w:rsidTr="00283D72">
        <w:tc>
          <w:tcPr>
            <w:tcW w:w="10998" w:type="dxa"/>
          </w:tcPr>
          <w:p w:rsidR="007434DF" w:rsidRPr="00DD1AFE" w:rsidRDefault="00DD1AFE" w:rsidP="00DD1AFE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CCR coordinator</w:t>
            </w:r>
            <w:r w:rsidRPr="00DD1AFE">
              <w:rPr>
                <w:rFonts w:asciiTheme="minorHAnsi" w:hAnsiTheme="minorHAnsi"/>
              </w:rPr>
              <w:t xml:space="preserve"> </w:t>
            </w:r>
          </w:p>
        </w:tc>
      </w:tr>
      <w:tr w:rsidR="007434DF" w:rsidRPr="00913A7F" w:rsidTr="00283D72">
        <w:tc>
          <w:tcPr>
            <w:tcW w:w="10998" w:type="dxa"/>
          </w:tcPr>
          <w:p w:rsidR="007434DF" w:rsidRPr="00DD1AFE" w:rsidRDefault="00DD1AFE" w:rsidP="00DD1AFE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</w:rPr>
            </w:pPr>
            <w:r w:rsidRPr="00DD1AFE">
              <w:rPr>
                <w:rFonts w:asciiTheme="minorHAnsi" w:hAnsiTheme="minorHAnsi"/>
              </w:rPr>
              <w:t>AIR  hotline/crisis line</w:t>
            </w:r>
          </w:p>
        </w:tc>
      </w:tr>
      <w:tr w:rsidR="00DD1AFE" w:rsidRPr="00913A7F" w:rsidTr="00283D72">
        <w:trPr>
          <w:trHeight w:val="368"/>
        </w:trPr>
        <w:tc>
          <w:tcPr>
            <w:tcW w:w="10998" w:type="dxa"/>
          </w:tcPr>
          <w:p w:rsidR="00DD1AFE" w:rsidRPr="00DD1AFE" w:rsidRDefault="00DD1AFE" w:rsidP="00DD1AFE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</w:rPr>
            </w:pPr>
            <w:r w:rsidRPr="00DD1AFE">
              <w:rPr>
                <w:rFonts w:asciiTheme="minorHAnsi" w:hAnsiTheme="minorHAnsi"/>
              </w:rPr>
              <w:t xml:space="preserve">legal/institutional advocate, </w:t>
            </w:r>
          </w:p>
        </w:tc>
      </w:tr>
      <w:tr w:rsidR="00DD1AFE" w:rsidRPr="00913A7F" w:rsidTr="00283D72">
        <w:trPr>
          <w:trHeight w:val="368"/>
        </w:trPr>
        <w:tc>
          <w:tcPr>
            <w:tcW w:w="10998" w:type="dxa"/>
          </w:tcPr>
          <w:p w:rsidR="00DD1AFE" w:rsidRPr="00DD1AFE" w:rsidRDefault="00DD1AFE" w:rsidP="00DD1AFE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bCs/>
                <w:i/>
              </w:rPr>
            </w:pPr>
            <w:r w:rsidRPr="00DD1AFE">
              <w:rPr>
                <w:rFonts w:asciiTheme="minorHAnsi" w:hAnsiTheme="minorHAnsi"/>
              </w:rPr>
              <w:t>supervisor</w:t>
            </w:r>
          </w:p>
        </w:tc>
      </w:tr>
      <w:tr w:rsidR="00DD1AFE" w:rsidRPr="00913A7F" w:rsidTr="00283D72">
        <w:trPr>
          <w:trHeight w:val="368"/>
        </w:trPr>
        <w:tc>
          <w:tcPr>
            <w:tcW w:w="10998" w:type="dxa"/>
          </w:tcPr>
          <w:p w:rsidR="00DD1AFE" w:rsidRPr="00DD1AFE" w:rsidRDefault="00DD1AFE" w:rsidP="00DD1AF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</w:rPr>
            </w:pPr>
            <w:r w:rsidRPr="00DD1AFE">
              <w:rPr>
                <w:rFonts w:asciiTheme="minorHAnsi" w:hAnsiTheme="minorHAnsi"/>
                <w:i/>
              </w:rPr>
              <w:t>Other:</w:t>
            </w:r>
          </w:p>
        </w:tc>
      </w:tr>
    </w:tbl>
    <w:p w:rsidR="007434DF" w:rsidRPr="00913A7F" w:rsidRDefault="007434DF" w:rsidP="00C6392E">
      <w:pPr>
        <w:ind w:left="360"/>
        <w:rPr>
          <w:rFonts w:asciiTheme="minorHAnsi" w:hAnsiTheme="minorHAnsi"/>
          <w:b/>
          <w:sz w:val="24"/>
        </w:rPr>
      </w:pPr>
    </w:p>
    <w:sectPr w:rsidR="007434DF" w:rsidRPr="00913A7F" w:rsidSect="00B34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B7" w:rsidRDefault="00446CB7">
      <w:r>
        <w:separator/>
      </w:r>
    </w:p>
  </w:endnote>
  <w:endnote w:type="continuationSeparator" w:id="0">
    <w:p w:rsidR="00446CB7" w:rsidRDefault="0044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83" w:rsidRDefault="008119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983" w:rsidRDefault="00811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F6" w:rsidRDefault="00C76BF6">
    <w:pPr>
      <w:pStyle w:val="Footer"/>
    </w:pPr>
    <w:r>
      <w:t xml:space="preserve">Gender Violence Institute, </w:t>
    </w:r>
    <w:bookmarkStart w:id="0" w:name="_GoBack"/>
    <w:bookmarkEnd w:id="0"/>
    <w:r w:rsidR="00CF19CA">
      <w:t>Feb 2014</w:t>
    </w:r>
    <w:r>
      <w:t xml:space="preserve"> </w:t>
    </w:r>
    <w:r w:rsidR="007064C9">
      <w:t xml:space="preserve"> </w:t>
    </w:r>
  </w:p>
  <w:p w:rsidR="00811983" w:rsidRDefault="00811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CD" w:rsidRDefault="00980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B7" w:rsidRDefault="00446CB7">
      <w:r>
        <w:separator/>
      </w:r>
    </w:p>
  </w:footnote>
  <w:footnote w:type="continuationSeparator" w:id="0">
    <w:p w:rsidR="00446CB7" w:rsidRDefault="0044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CD" w:rsidRDefault="009803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83" w:rsidRDefault="00811983">
    <w:pPr>
      <w:pStyle w:val="Title"/>
      <w:rPr>
        <w:sz w:val="24"/>
      </w:rPr>
    </w:pPr>
  </w:p>
  <w:p w:rsidR="00811983" w:rsidRDefault="00811983">
    <w:pPr>
      <w:pStyle w:val="Title"/>
      <w:rPr>
        <w:sz w:val="24"/>
      </w:rPr>
    </w:pPr>
  </w:p>
  <w:p w:rsidR="00811983" w:rsidRDefault="008119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CD" w:rsidRDefault="009803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D3"/>
    <w:multiLevelType w:val="hybridMultilevel"/>
    <w:tmpl w:val="2B8E49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92896"/>
    <w:multiLevelType w:val="hybridMultilevel"/>
    <w:tmpl w:val="F93AC51E"/>
    <w:lvl w:ilvl="0" w:tplc="B3B843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741A73"/>
    <w:multiLevelType w:val="hybridMultilevel"/>
    <w:tmpl w:val="C338C300"/>
    <w:lvl w:ilvl="0" w:tplc="71E6E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03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47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2C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2B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0D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A0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8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29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371DD0"/>
    <w:multiLevelType w:val="hybridMultilevel"/>
    <w:tmpl w:val="DAEE7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26511"/>
    <w:multiLevelType w:val="hybridMultilevel"/>
    <w:tmpl w:val="267E2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51511"/>
    <w:multiLevelType w:val="hybridMultilevel"/>
    <w:tmpl w:val="1D442E14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70A7C"/>
    <w:multiLevelType w:val="hybridMultilevel"/>
    <w:tmpl w:val="DADA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166C8"/>
    <w:multiLevelType w:val="hybridMultilevel"/>
    <w:tmpl w:val="F7D89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86124"/>
    <w:multiLevelType w:val="hybridMultilevel"/>
    <w:tmpl w:val="D93425C2"/>
    <w:lvl w:ilvl="0" w:tplc="5084633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5E446E"/>
    <w:multiLevelType w:val="hybridMultilevel"/>
    <w:tmpl w:val="25849DBE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212BAF"/>
    <w:multiLevelType w:val="hybridMultilevel"/>
    <w:tmpl w:val="28CEB6B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400BF"/>
    <w:multiLevelType w:val="hybridMultilevel"/>
    <w:tmpl w:val="B7721EAE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890A85"/>
    <w:multiLevelType w:val="hybridMultilevel"/>
    <w:tmpl w:val="DFDCAF0E"/>
    <w:lvl w:ilvl="0" w:tplc="24A67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5005E"/>
    <w:multiLevelType w:val="hybridMultilevel"/>
    <w:tmpl w:val="A372DDE2"/>
    <w:lvl w:ilvl="0" w:tplc="E6F00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2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0E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2F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2E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A7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E5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E3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EA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8D4A06"/>
    <w:multiLevelType w:val="singleLevel"/>
    <w:tmpl w:val="994684F8"/>
    <w:lvl w:ilvl="0">
      <w:start w:val="4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58A5FD1"/>
    <w:multiLevelType w:val="hybridMultilevel"/>
    <w:tmpl w:val="569CFD44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6D220F"/>
    <w:multiLevelType w:val="hybridMultilevel"/>
    <w:tmpl w:val="12EAEC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F5B2D"/>
    <w:multiLevelType w:val="hybridMultilevel"/>
    <w:tmpl w:val="0804D2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3A16571"/>
    <w:multiLevelType w:val="hybridMultilevel"/>
    <w:tmpl w:val="FD5406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076A0"/>
    <w:multiLevelType w:val="singleLevel"/>
    <w:tmpl w:val="FB9E7F88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792C0B"/>
    <w:multiLevelType w:val="hybridMultilevel"/>
    <w:tmpl w:val="D5FEFF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99761A"/>
    <w:multiLevelType w:val="hybridMultilevel"/>
    <w:tmpl w:val="12EAEC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6"/>
  </w:num>
  <w:num w:numId="5">
    <w:abstractNumId w:val="21"/>
  </w:num>
  <w:num w:numId="6">
    <w:abstractNumId w:val="17"/>
  </w:num>
  <w:num w:numId="7">
    <w:abstractNumId w:val="1"/>
  </w:num>
  <w:num w:numId="8">
    <w:abstractNumId w:val="2"/>
  </w:num>
  <w:num w:numId="9">
    <w:abstractNumId w:val="13"/>
  </w:num>
  <w:num w:numId="10">
    <w:abstractNumId w:val="8"/>
  </w:num>
  <w:num w:numId="11">
    <w:abstractNumId w:val="0"/>
  </w:num>
  <w:num w:numId="12">
    <w:abstractNumId w:val="20"/>
  </w:num>
  <w:num w:numId="13">
    <w:abstractNumId w:val="10"/>
  </w:num>
  <w:num w:numId="14">
    <w:abstractNumId w:val="12"/>
  </w:num>
  <w:num w:numId="15">
    <w:abstractNumId w:val="4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7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7E"/>
    <w:rsid w:val="00010EFE"/>
    <w:rsid w:val="00052BE6"/>
    <w:rsid w:val="0005354C"/>
    <w:rsid w:val="00077155"/>
    <w:rsid w:val="000927A2"/>
    <w:rsid w:val="000B2E98"/>
    <w:rsid w:val="000B3E9E"/>
    <w:rsid w:val="000C1FB7"/>
    <w:rsid w:val="000E1A6A"/>
    <w:rsid w:val="00101F2C"/>
    <w:rsid w:val="00136F24"/>
    <w:rsid w:val="00153315"/>
    <w:rsid w:val="0019145D"/>
    <w:rsid w:val="002040D7"/>
    <w:rsid w:val="002349AC"/>
    <w:rsid w:val="00263BE8"/>
    <w:rsid w:val="0028010C"/>
    <w:rsid w:val="00297C1F"/>
    <w:rsid w:val="002B6F93"/>
    <w:rsid w:val="002C07AB"/>
    <w:rsid w:val="002D324D"/>
    <w:rsid w:val="002F110A"/>
    <w:rsid w:val="002F20D0"/>
    <w:rsid w:val="003215A5"/>
    <w:rsid w:val="0033425B"/>
    <w:rsid w:val="003506DA"/>
    <w:rsid w:val="00386173"/>
    <w:rsid w:val="003A1495"/>
    <w:rsid w:val="003C0CFB"/>
    <w:rsid w:val="00415BE9"/>
    <w:rsid w:val="004224F5"/>
    <w:rsid w:val="00434B20"/>
    <w:rsid w:val="00436CC9"/>
    <w:rsid w:val="004468D4"/>
    <w:rsid w:val="00446CB7"/>
    <w:rsid w:val="00486634"/>
    <w:rsid w:val="004C5417"/>
    <w:rsid w:val="005378B8"/>
    <w:rsid w:val="00560BE7"/>
    <w:rsid w:val="00576E4B"/>
    <w:rsid w:val="005F4FCA"/>
    <w:rsid w:val="006213A5"/>
    <w:rsid w:val="0063318C"/>
    <w:rsid w:val="00640F39"/>
    <w:rsid w:val="006623FE"/>
    <w:rsid w:val="00673389"/>
    <w:rsid w:val="00676289"/>
    <w:rsid w:val="006978F1"/>
    <w:rsid w:val="006A67AE"/>
    <w:rsid w:val="006C11CD"/>
    <w:rsid w:val="006D6D63"/>
    <w:rsid w:val="006F0F10"/>
    <w:rsid w:val="007064C9"/>
    <w:rsid w:val="0071600D"/>
    <w:rsid w:val="007434DF"/>
    <w:rsid w:val="0077049A"/>
    <w:rsid w:val="007949E6"/>
    <w:rsid w:val="007D4499"/>
    <w:rsid w:val="007F7071"/>
    <w:rsid w:val="00811983"/>
    <w:rsid w:val="00825715"/>
    <w:rsid w:val="00850658"/>
    <w:rsid w:val="008A51E2"/>
    <w:rsid w:val="008B455D"/>
    <w:rsid w:val="008B5D62"/>
    <w:rsid w:val="008C4938"/>
    <w:rsid w:val="008F4E40"/>
    <w:rsid w:val="008F7113"/>
    <w:rsid w:val="00913A7F"/>
    <w:rsid w:val="00915E4D"/>
    <w:rsid w:val="0093635D"/>
    <w:rsid w:val="00942E3C"/>
    <w:rsid w:val="009803CD"/>
    <w:rsid w:val="009976A0"/>
    <w:rsid w:val="009F339A"/>
    <w:rsid w:val="00A30CC9"/>
    <w:rsid w:val="00A66990"/>
    <w:rsid w:val="00A94E9B"/>
    <w:rsid w:val="00AB29A7"/>
    <w:rsid w:val="00AC0943"/>
    <w:rsid w:val="00AC25C9"/>
    <w:rsid w:val="00AF06A1"/>
    <w:rsid w:val="00B15999"/>
    <w:rsid w:val="00B342AA"/>
    <w:rsid w:val="00BD1A92"/>
    <w:rsid w:val="00BD2EDE"/>
    <w:rsid w:val="00BE1D1F"/>
    <w:rsid w:val="00C04EB8"/>
    <w:rsid w:val="00C36AA3"/>
    <w:rsid w:val="00C6392E"/>
    <w:rsid w:val="00C675D8"/>
    <w:rsid w:val="00C76BF6"/>
    <w:rsid w:val="00C97FF8"/>
    <w:rsid w:val="00CC1791"/>
    <w:rsid w:val="00CC564C"/>
    <w:rsid w:val="00CE08B9"/>
    <w:rsid w:val="00CF0169"/>
    <w:rsid w:val="00CF19CA"/>
    <w:rsid w:val="00D0007E"/>
    <w:rsid w:val="00D02090"/>
    <w:rsid w:val="00D410BA"/>
    <w:rsid w:val="00D50556"/>
    <w:rsid w:val="00D567A6"/>
    <w:rsid w:val="00D720F9"/>
    <w:rsid w:val="00D949F6"/>
    <w:rsid w:val="00DB373A"/>
    <w:rsid w:val="00DD1AFE"/>
    <w:rsid w:val="00DE139A"/>
    <w:rsid w:val="00DF2F47"/>
    <w:rsid w:val="00E00DC9"/>
    <w:rsid w:val="00E03805"/>
    <w:rsid w:val="00E1666B"/>
    <w:rsid w:val="00E17139"/>
    <w:rsid w:val="00EA3258"/>
    <w:rsid w:val="00ED09CA"/>
    <w:rsid w:val="00ED0C25"/>
    <w:rsid w:val="00F067BD"/>
    <w:rsid w:val="00F34E45"/>
    <w:rsid w:val="00F50A2A"/>
    <w:rsid w:val="00F948BD"/>
    <w:rsid w:val="00FC33DE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</w:tabs>
      <w:ind w:left="1440" w:hanging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72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paragraph" w:styleId="BodyTextIndent2">
    <w:name w:val="Body Text Indent 2"/>
    <w:basedOn w:val="Normal"/>
    <w:semiHidden/>
    <w:pPr>
      <w:ind w:firstLine="720"/>
    </w:pPr>
    <w:rPr>
      <w:sz w:val="24"/>
    </w:rPr>
  </w:style>
  <w:style w:type="paragraph" w:styleId="Subtitle">
    <w:name w:val="Subtitle"/>
    <w:basedOn w:val="Normal"/>
    <w:qFormat/>
    <w:pPr>
      <w:ind w:left="720" w:hanging="720"/>
    </w:pPr>
    <w:rPr>
      <w:b/>
      <w:sz w:val="24"/>
    </w:rPr>
  </w:style>
  <w:style w:type="paragraph" w:styleId="BodyTextIndent3">
    <w:name w:val="Body Text Indent 3"/>
    <w:basedOn w:val="Normal"/>
    <w:semiHidden/>
    <w:pPr>
      <w:ind w:left="2160" w:hanging="720"/>
    </w:pPr>
    <w:rPr>
      <w:sz w:val="24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  <w:sz w:val="22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1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BE8"/>
    <w:pPr>
      <w:ind w:left="72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6BF6"/>
  </w:style>
  <w:style w:type="paragraph" w:styleId="BalloonText">
    <w:name w:val="Balloon Text"/>
    <w:basedOn w:val="Normal"/>
    <w:link w:val="BalloonTextChar"/>
    <w:uiPriority w:val="99"/>
    <w:semiHidden/>
    <w:unhideWhenUsed/>
    <w:rsid w:val="00C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B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1C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1CD"/>
  </w:style>
  <w:style w:type="character" w:styleId="FootnoteReference">
    <w:name w:val="footnote reference"/>
    <w:basedOn w:val="DefaultParagraphFont"/>
    <w:uiPriority w:val="99"/>
    <w:semiHidden/>
    <w:unhideWhenUsed/>
    <w:rsid w:val="006C11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</w:tabs>
      <w:ind w:left="1440" w:hanging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72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paragraph" w:styleId="BodyTextIndent2">
    <w:name w:val="Body Text Indent 2"/>
    <w:basedOn w:val="Normal"/>
    <w:semiHidden/>
    <w:pPr>
      <w:ind w:firstLine="720"/>
    </w:pPr>
    <w:rPr>
      <w:sz w:val="24"/>
    </w:rPr>
  </w:style>
  <w:style w:type="paragraph" w:styleId="Subtitle">
    <w:name w:val="Subtitle"/>
    <w:basedOn w:val="Normal"/>
    <w:qFormat/>
    <w:pPr>
      <w:ind w:left="720" w:hanging="720"/>
    </w:pPr>
    <w:rPr>
      <w:b/>
      <w:sz w:val="24"/>
    </w:rPr>
  </w:style>
  <w:style w:type="paragraph" w:styleId="BodyTextIndent3">
    <w:name w:val="Body Text Indent 3"/>
    <w:basedOn w:val="Normal"/>
    <w:semiHidden/>
    <w:pPr>
      <w:ind w:left="2160" w:hanging="720"/>
    </w:pPr>
    <w:rPr>
      <w:sz w:val="24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  <w:sz w:val="22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1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BE8"/>
    <w:pPr>
      <w:ind w:left="72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6BF6"/>
  </w:style>
  <w:style w:type="paragraph" w:styleId="BalloonText">
    <w:name w:val="Balloon Text"/>
    <w:basedOn w:val="Normal"/>
    <w:link w:val="BalloonTextChar"/>
    <w:uiPriority w:val="99"/>
    <w:semiHidden/>
    <w:unhideWhenUsed/>
    <w:rsid w:val="00C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B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1C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1CD"/>
  </w:style>
  <w:style w:type="character" w:styleId="FootnoteReference">
    <w:name w:val="footnote reference"/>
    <w:basedOn w:val="DefaultParagraphFont"/>
    <w:uiPriority w:val="99"/>
    <w:semiHidden/>
    <w:unhideWhenUsed/>
    <w:rsid w:val="006C1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814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356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053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947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505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076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54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940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974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365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621">
          <w:marLeft w:val="36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D67A-750A-441D-8797-5662D951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Collaboration Exercise</vt:lpstr>
    </vt:vector>
  </TitlesOfParts>
  <Company>Gender Violence Institute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Exercise</dc:title>
  <dc:creator>Rose E. Thelen</dc:creator>
  <cp:lastModifiedBy>rose</cp:lastModifiedBy>
  <cp:revision>3</cp:revision>
  <cp:lastPrinted>2014-03-10T16:35:00Z</cp:lastPrinted>
  <dcterms:created xsi:type="dcterms:W3CDTF">2014-03-08T21:56:00Z</dcterms:created>
  <dcterms:modified xsi:type="dcterms:W3CDTF">2014-03-10T20:58:00Z</dcterms:modified>
</cp:coreProperties>
</file>