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07E4" w14:textId="176D0616" w:rsidR="007A709C" w:rsidRDefault="007A709C" w:rsidP="007A709C">
      <w:pPr>
        <w:pStyle w:val="Heading1"/>
      </w:pPr>
      <w:bookmarkStart w:id="0" w:name="_Toc455475003"/>
      <w:r w:rsidRPr="00F82934">
        <w:t>Approaches to Evaluating Practice</w:t>
      </w:r>
      <w:bookmarkEnd w:id="0"/>
    </w:p>
    <w:p w14:paraId="7F568148" w14:textId="77777777" w:rsidR="00C62945" w:rsidRDefault="00C62945" w:rsidP="00C62945">
      <w:pPr>
        <w:jc w:val="center"/>
        <w:rPr>
          <w:rFonts w:ascii="Trebuchet MS" w:hAnsi="Trebuchet MS"/>
          <w:i/>
        </w:rPr>
      </w:pPr>
      <w:r w:rsidRPr="00C62945">
        <w:rPr>
          <w:rFonts w:ascii="Trebuchet MS" w:hAnsi="Trebuchet MS"/>
        </w:rPr>
        <w:t xml:space="preserve">Excerpted from </w:t>
      </w:r>
      <w:r w:rsidRPr="00C62945">
        <w:rPr>
          <w:rFonts w:ascii="Trebuchet MS" w:hAnsi="Trebuchet MS"/>
          <w:i/>
        </w:rPr>
        <w:t xml:space="preserve">Planning and Conducting a Best Practice Assessment </w:t>
      </w:r>
    </w:p>
    <w:p w14:paraId="4C8F27EC" w14:textId="0447515B" w:rsidR="00C62945" w:rsidRPr="00C62945" w:rsidRDefault="00C62945" w:rsidP="00C62945">
      <w:pPr>
        <w:jc w:val="center"/>
        <w:rPr>
          <w:rFonts w:ascii="Trebuchet MS" w:hAnsi="Trebuchet MS"/>
        </w:rPr>
      </w:pPr>
      <w:r w:rsidRPr="00C62945">
        <w:rPr>
          <w:rFonts w:ascii="Trebuchet MS" w:hAnsi="Trebuchet MS"/>
          <w:i/>
        </w:rPr>
        <w:t>of Community Response to Domestic Violence</w:t>
      </w:r>
      <w:r>
        <w:rPr>
          <w:rStyle w:val="FootnoteReference"/>
          <w:rFonts w:ascii="Trebuchet MS" w:hAnsi="Trebuchet MS"/>
          <w:i/>
        </w:rPr>
        <w:footnoteReference w:id="1"/>
      </w:r>
      <w:r>
        <w:rPr>
          <w:rFonts w:ascii="Trebuchet MS" w:hAnsi="Trebuchet MS"/>
          <w:i/>
        </w:rPr>
        <w:t xml:space="preserve"> </w:t>
      </w:r>
    </w:p>
    <w:p w14:paraId="1B7F53A7" w14:textId="77777777" w:rsidR="007A709C" w:rsidRPr="00F82934" w:rsidRDefault="007A709C" w:rsidP="007A709C">
      <w:pPr>
        <w:rPr>
          <w:rFonts w:ascii="Trebuchet MS" w:hAnsi="Trebuchet MS"/>
          <w:szCs w:val="24"/>
        </w:rPr>
      </w:pPr>
    </w:p>
    <w:p w14:paraId="7EB8EC61" w14:textId="77777777" w:rsidR="007A709C" w:rsidRPr="00F82934" w:rsidRDefault="007A709C" w:rsidP="00C62945">
      <w:pPr>
        <w:ind w:firstLine="0"/>
        <w:jc w:val="left"/>
        <w:rPr>
          <w:rFonts w:ascii="Trebuchet MS" w:hAnsi="Trebuchet MS"/>
          <w:szCs w:val="24"/>
        </w:rPr>
      </w:pPr>
      <w:r w:rsidRPr="00F82934">
        <w:rPr>
          <w:rFonts w:ascii="Trebuchet MS" w:hAnsi="Trebuchet MS"/>
          <w:szCs w:val="24"/>
        </w:rPr>
        <w:t>A CCR or individual agency responding to domestic violence crimes can use various methods to evaluate and inform its intervention practices. The Best Practice assessment presented in this guide is an approach at one end of a continuum of complexity. While the three different forms of evaluating practice described in the following section have much in common, they vary significantly in the depth and breadth of their attention and inquiry. Each has different features and different limitations as a tool for evaluating a CCR.</w:t>
      </w:r>
    </w:p>
    <w:p w14:paraId="1751545B" w14:textId="77777777" w:rsidR="007A709C" w:rsidRPr="00F82934" w:rsidRDefault="007A709C" w:rsidP="007A709C">
      <w:pPr>
        <w:ind w:firstLine="0"/>
        <w:rPr>
          <w:rFonts w:ascii="Trebuchet MS" w:hAnsi="Trebuchet MS"/>
          <w:szCs w:val="24"/>
        </w:rPr>
      </w:pPr>
    </w:p>
    <w:p w14:paraId="261DD823" w14:textId="77777777" w:rsidR="007A709C" w:rsidRPr="00F82934" w:rsidRDefault="007A709C" w:rsidP="00C62945">
      <w:pPr>
        <w:ind w:firstLine="0"/>
        <w:jc w:val="left"/>
        <w:rPr>
          <w:rFonts w:ascii="Trebuchet MS" w:hAnsi="Trebuchet MS"/>
          <w:szCs w:val="24"/>
        </w:rPr>
      </w:pPr>
      <w:r w:rsidRPr="00F82934">
        <w:rPr>
          <w:rFonts w:ascii="Trebuchet MS" w:hAnsi="Trebuchet MS"/>
          <w:szCs w:val="24"/>
        </w:rPr>
        <w:t xml:space="preserve">The </w:t>
      </w:r>
      <w:r w:rsidRPr="00F82934">
        <w:rPr>
          <w:rFonts w:ascii="Trebuchet MS" w:hAnsi="Trebuchet MS"/>
          <w:b/>
          <w:i/>
          <w:szCs w:val="24"/>
        </w:rPr>
        <w:t>Best Practice Assessment</w:t>
      </w:r>
      <w:r w:rsidRPr="00F82934">
        <w:rPr>
          <w:rFonts w:ascii="Trebuchet MS" w:hAnsi="Trebuchet MS"/>
          <w:szCs w:val="24"/>
        </w:rPr>
        <w:t xml:space="preserve"> presented here is a relatively quick review of the response to domestic violence–related cases, using checklists of core practices. These core practices have been identified after working closely with Office on Violence Against Women (OVW) grantees and other communities, particularly those that have established coordinated intervention practices and many that have completed Safety Audits. The assessment has been developed to assist communities where a Safety Audit is currently not viable because of inadequate resources, limited organizational capacity, or challenging local conditions, such as interagency tensions or lack of trust. The process involves a relatively narrow scope, small number of participants, limited data collection, and little direct consultation with victims of abuse. It relies heavily on a guided review of the official records, such as 911 calls and patrol officers’ incident and arrest reports.    </w:t>
      </w:r>
    </w:p>
    <w:p w14:paraId="61F98F94" w14:textId="77777777" w:rsidR="007A709C" w:rsidRPr="00F82934" w:rsidRDefault="007A709C" w:rsidP="007A709C">
      <w:pPr>
        <w:rPr>
          <w:rFonts w:ascii="Trebuchet MS" w:hAnsi="Trebuchet MS"/>
          <w:szCs w:val="24"/>
        </w:rPr>
      </w:pPr>
    </w:p>
    <w:p w14:paraId="5B25EBBC" w14:textId="11AB642F" w:rsidR="007A709C" w:rsidRPr="00F82934" w:rsidRDefault="007A709C" w:rsidP="00C62945">
      <w:pPr>
        <w:ind w:firstLine="0"/>
        <w:jc w:val="left"/>
        <w:rPr>
          <w:rFonts w:ascii="Trebuchet MS" w:hAnsi="Trebuchet MS"/>
          <w:szCs w:val="24"/>
        </w:rPr>
      </w:pPr>
      <w:r w:rsidRPr="00F82934">
        <w:rPr>
          <w:rFonts w:ascii="Trebuchet MS" w:hAnsi="Trebuchet MS"/>
          <w:szCs w:val="24"/>
        </w:rPr>
        <w:t xml:space="preserve">The </w:t>
      </w:r>
      <w:r w:rsidRPr="00F82934">
        <w:rPr>
          <w:rFonts w:ascii="Trebuchet MS" w:hAnsi="Trebuchet MS"/>
          <w:b/>
          <w:i/>
          <w:szCs w:val="24"/>
        </w:rPr>
        <w:t>Safety and Accountability Audit</w:t>
      </w:r>
      <w:r w:rsidRPr="00F82934">
        <w:rPr>
          <w:rFonts w:ascii="Trebuchet MS" w:hAnsi="Trebuchet MS"/>
          <w:b/>
          <w:szCs w:val="24"/>
        </w:rPr>
        <w:t xml:space="preserve"> </w:t>
      </w:r>
      <w:r w:rsidRPr="00F82934">
        <w:rPr>
          <w:rFonts w:ascii="Trebuchet MS" w:hAnsi="Trebuchet MS"/>
          <w:szCs w:val="24"/>
        </w:rPr>
        <w:t xml:space="preserve">is an in-depth examination of how work routines and ways of doing business strengthen or impede safety for victims and accountability of offenders and intervening systems. A trained interagency team conducts interviews and observations with practitioners who are skilled and well-versed in their jobs. The team also analyzes case files, policies, and other documents. A Safety Audit is grounded in focus group discussions or other interviews with victims of battering. It seeks to uncover the gaps between what people need to craft safety and strengthen accountability, and what intervening systems provide in their responses. The Safety Audit also introduces and reinforces new ways for interveners </w:t>
      </w:r>
      <w:r w:rsidRPr="00F82934">
        <w:rPr>
          <w:rFonts w:ascii="Trebuchet MS" w:hAnsi="Trebuchet MS"/>
          <w:szCs w:val="24"/>
        </w:rPr>
        <w:lastRenderedPageBreak/>
        <w:t xml:space="preserve">to work together. A Safety Audit examines one or more points of intervention in depth and seeks to make visible any contradictions between the assumed response and the actual response. To be successful, this approach requires sound working relationships and a high level of trust between community partners. A Safety Audit is a tool for exploring more complex questions that go beyond matters of routine practice, such as examining assumptions and theories about domestic violence or disparities in intervention based on social standing. </w:t>
      </w:r>
    </w:p>
    <w:p w14:paraId="58D184D4" w14:textId="77777777" w:rsidR="007A709C" w:rsidRPr="00F82934" w:rsidRDefault="007A709C" w:rsidP="007A709C">
      <w:pPr>
        <w:rPr>
          <w:rFonts w:ascii="Trebuchet MS" w:hAnsi="Trebuchet MS"/>
          <w:szCs w:val="24"/>
        </w:rPr>
      </w:pPr>
    </w:p>
    <w:p w14:paraId="78E1AAAE" w14:textId="77777777" w:rsidR="007A709C" w:rsidRPr="00F82934" w:rsidRDefault="007A709C" w:rsidP="00C62945">
      <w:pPr>
        <w:ind w:firstLine="0"/>
        <w:jc w:val="left"/>
        <w:rPr>
          <w:rFonts w:ascii="Trebuchet MS" w:hAnsi="Trebuchet MS"/>
          <w:szCs w:val="24"/>
        </w:rPr>
      </w:pPr>
      <w:r w:rsidRPr="00F82934">
        <w:rPr>
          <w:rFonts w:ascii="Trebuchet MS" w:hAnsi="Trebuchet MS"/>
          <w:szCs w:val="24"/>
        </w:rPr>
        <w:t xml:space="preserve">The </w:t>
      </w:r>
      <w:r w:rsidRPr="00F82934">
        <w:rPr>
          <w:rFonts w:ascii="Trebuchet MS" w:hAnsi="Trebuchet MS"/>
          <w:b/>
          <w:i/>
          <w:szCs w:val="24"/>
        </w:rPr>
        <w:t>Blueprint for Safety</w:t>
      </w:r>
      <w:r w:rsidRPr="00F82934">
        <w:rPr>
          <w:rFonts w:ascii="Trebuchet MS" w:hAnsi="Trebuchet MS"/>
          <w:szCs w:val="24"/>
        </w:rPr>
        <w:t xml:space="preserve"> is an approach to evaluating and revamping an existing coordinated community response by examining and subsequently rewriting existing policies and protocols using the Blueprint standards. The Blueprint is essentially a set of plans, but plans drawn with meticulous attention to the details of interagency case processing in domestic violence–related cases. To become a “Blueprint Community,” requires a large measure of political will among criminal justice system agencies and advocacy organizations. Agency leaders,</w:t>
      </w:r>
      <w:bookmarkStart w:id="1" w:name="_GoBack"/>
      <w:bookmarkEnd w:id="1"/>
      <w:r w:rsidRPr="00F82934">
        <w:rPr>
          <w:rFonts w:ascii="Trebuchet MS" w:hAnsi="Trebuchet MS"/>
          <w:szCs w:val="24"/>
        </w:rPr>
        <w:t xml:space="preserve"> practitioners, and victim advocates must be able to collaborate in assessing, revising, and writing each agency’s policies and protocols. They must be positioned to evaluate and resolve differences according the Blueprint’s foundational principles: (1) adhere to an interagency approach and collective intervention goals; (2) build attention to the context and severity of abuse into each intervention; (3) recognize that most domestic violence is a patterned crime requiring continuing engagement with victims and offenders; (4) ensure sure and swift consequences for continued abuse; (5) use the power of the criminal justice system to send messages of help and accountability; and (6) act in ways that reduce unintended consequences and the disparity of impact on victims and offenders.</w:t>
      </w:r>
      <w:r w:rsidRPr="00F82934">
        <w:rPr>
          <w:rStyle w:val="FootnoteReference"/>
          <w:rFonts w:ascii="Trebuchet MS" w:hAnsi="Trebuchet MS"/>
          <w:szCs w:val="24"/>
        </w:rPr>
        <w:footnoteReference w:id="2"/>
      </w:r>
    </w:p>
    <w:p w14:paraId="045DC41C" w14:textId="77777777" w:rsidR="007A709C" w:rsidRPr="00F82934" w:rsidRDefault="007A709C" w:rsidP="007A709C">
      <w:pPr>
        <w:rPr>
          <w:rFonts w:ascii="Trebuchet MS" w:hAnsi="Trebuchet MS"/>
          <w:szCs w:val="24"/>
        </w:rPr>
      </w:pPr>
    </w:p>
    <w:p w14:paraId="549CD25B" w14:textId="5BD98762" w:rsidR="007A709C" w:rsidRPr="00F82934" w:rsidRDefault="007A709C" w:rsidP="00C62945">
      <w:pPr>
        <w:ind w:firstLine="0"/>
        <w:jc w:val="left"/>
        <w:rPr>
          <w:rFonts w:ascii="Trebuchet MS" w:hAnsi="Trebuchet MS"/>
          <w:sz w:val="20"/>
          <w:szCs w:val="20"/>
        </w:rPr>
      </w:pPr>
      <w:r w:rsidRPr="00F82934">
        <w:rPr>
          <w:rFonts w:ascii="Trebuchet MS" w:hAnsi="Trebuchet MS"/>
          <w:szCs w:val="24"/>
        </w:rPr>
        <w:t xml:space="preserve">The following grid provides a snapshot of each approach and considerations in determining which might be the best choice for a particular community and its local conditions. In deciding which approach is the best fit for your community, first determine what level of coordination exists in the overall response to domestic violence. Use Introduction – Attachment 1, Three Levels of Interagency Response to Domestic Violence, to guide that review and conduct an appraisal of the capabilities in place, as well as likely challenges. The Best Practice Assessment can be useful to a community at any level of interagency response. For the Safety Audit or the Blueprint to be successful, however, the features of coordination described in levels two and three need to be largely in place. </w:t>
      </w:r>
      <w:r w:rsidRPr="00F82934">
        <w:rPr>
          <w:rFonts w:ascii="Trebuchet MS" w:hAnsi="Trebuchet M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777"/>
        <w:gridCol w:w="3287"/>
        <w:gridCol w:w="4286"/>
      </w:tblGrid>
      <w:tr w:rsidR="007A709C" w:rsidRPr="00F82934" w14:paraId="48EADA00" w14:textId="77777777" w:rsidTr="00B8067E">
        <w:trPr>
          <w:trHeight w:val="864"/>
          <w:tblHeader/>
        </w:trPr>
        <w:tc>
          <w:tcPr>
            <w:tcW w:w="9496" w:type="dxa"/>
            <w:gridSpan w:val="3"/>
            <w:shd w:val="clear" w:color="auto" w:fill="A6A6A6" w:themeFill="background1" w:themeFillShade="A6"/>
            <w:vAlign w:val="center"/>
          </w:tcPr>
          <w:p w14:paraId="1F3ED7D5" w14:textId="77777777" w:rsidR="007A709C" w:rsidRPr="00F82934" w:rsidRDefault="007A709C" w:rsidP="00B8067E">
            <w:pPr>
              <w:pStyle w:val="Heading1"/>
              <w:rPr>
                <w:szCs w:val="24"/>
              </w:rPr>
            </w:pPr>
            <w:bookmarkStart w:id="2" w:name="_Toc455475004"/>
            <w:r w:rsidRPr="00987C7F">
              <w:lastRenderedPageBreak/>
              <w:t>Which Approach is the Best Fit for Your Community?</w:t>
            </w:r>
            <w:bookmarkEnd w:id="2"/>
            <w:r w:rsidRPr="00987C7F">
              <w:rPr>
                <w:szCs w:val="24"/>
              </w:rPr>
              <w:t xml:space="preserve"> </w:t>
            </w:r>
          </w:p>
        </w:tc>
      </w:tr>
      <w:tr w:rsidR="007A709C" w:rsidRPr="00F82934" w14:paraId="652BD088" w14:textId="77777777" w:rsidTr="00B8067E">
        <w:trPr>
          <w:trHeight w:val="521"/>
          <w:tblHeader/>
        </w:trPr>
        <w:tc>
          <w:tcPr>
            <w:tcW w:w="1777" w:type="dxa"/>
            <w:shd w:val="clear" w:color="auto" w:fill="D9D9D9" w:themeFill="background1" w:themeFillShade="D9"/>
            <w:vAlign w:val="center"/>
          </w:tcPr>
          <w:p w14:paraId="74BA00BF" w14:textId="77777777" w:rsidR="007A709C" w:rsidRPr="00F82934" w:rsidRDefault="007A709C" w:rsidP="00B8067E">
            <w:pPr>
              <w:ind w:firstLine="0"/>
              <w:jc w:val="center"/>
              <w:rPr>
                <w:rFonts w:ascii="Trebuchet MS" w:hAnsi="Trebuchet MS" w:cs="Arial"/>
                <w:b/>
                <w:bCs/>
                <w:color w:val="404040" w:themeColor="text1" w:themeTint="BF"/>
                <w:szCs w:val="24"/>
              </w:rPr>
            </w:pPr>
            <w:r w:rsidRPr="00F82934">
              <w:rPr>
                <w:rFonts w:ascii="Trebuchet MS" w:hAnsi="Trebuchet MS" w:cs="Arial"/>
                <w:b/>
                <w:bCs/>
                <w:color w:val="404040" w:themeColor="text1" w:themeTint="BF"/>
                <w:szCs w:val="24"/>
              </w:rPr>
              <w:t>Method</w:t>
            </w:r>
          </w:p>
        </w:tc>
        <w:tc>
          <w:tcPr>
            <w:tcW w:w="3336" w:type="dxa"/>
            <w:shd w:val="clear" w:color="auto" w:fill="D9D9D9" w:themeFill="background1" w:themeFillShade="D9"/>
            <w:vAlign w:val="center"/>
          </w:tcPr>
          <w:p w14:paraId="1EBB9BEB" w14:textId="77777777" w:rsidR="007A709C" w:rsidRPr="00F82934" w:rsidRDefault="007A709C" w:rsidP="00B8067E">
            <w:pPr>
              <w:ind w:firstLine="0"/>
              <w:jc w:val="center"/>
              <w:rPr>
                <w:rFonts w:ascii="Trebuchet MS" w:hAnsi="Trebuchet MS" w:cs="Arial"/>
                <w:b/>
                <w:bCs/>
                <w:color w:val="404040" w:themeColor="text1" w:themeTint="BF"/>
                <w:szCs w:val="24"/>
              </w:rPr>
            </w:pPr>
            <w:r w:rsidRPr="00F82934">
              <w:rPr>
                <w:rFonts w:ascii="Trebuchet MS" w:hAnsi="Trebuchet MS" w:cs="Arial"/>
                <w:b/>
                <w:bCs/>
                <w:color w:val="404040" w:themeColor="text1" w:themeTint="BF"/>
                <w:szCs w:val="24"/>
              </w:rPr>
              <w:t>Features</w:t>
            </w:r>
          </w:p>
        </w:tc>
        <w:tc>
          <w:tcPr>
            <w:tcW w:w="4383" w:type="dxa"/>
            <w:shd w:val="clear" w:color="auto" w:fill="D9D9D9" w:themeFill="background1" w:themeFillShade="D9"/>
            <w:vAlign w:val="center"/>
          </w:tcPr>
          <w:p w14:paraId="1E595C04" w14:textId="77777777" w:rsidR="007A709C" w:rsidRPr="00F82934" w:rsidRDefault="007A709C" w:rsidP="00B8067E">
            <w:pPr>
              <w:ind w:firstLine="0"/>
              <w:jc w:val="center"/>
              <w:rPr>
                <w:rFonts w:ascii="Trebuchet MS" w:hAnsi="Trebuchet MS" w:cs="Arial"/>
                <w:b/>
                <w:bCs/>
                <w:color w:val="404040" w:themeColor="text1" w:themeTint="BF"/>
                <w:szCs w:val="24"/>
              </w:rPr>
            </w:pPr>
            <w:r w:rsidRPr="00F82934">
              <w:rPr>
                <w:rFonts w:ascii="Trebuchet MS" w:hAnsi="Trebuchet MS" w:cs="Arial"/>
                <w:b/>
                <w:bCs/>
                <w:color w:val="404040" w:themeColor="text1" w:themeTint="BF"/>
                <w:szCs w:val="24"/>
              </w:rPr>
              <w:t>Best Fit When…</w:t>
            </w:r>
          </w:p>
        </w:tc>
      </w:tr>
      <w:tr w:rsidR="007A709C" w:rsidRPr="00F82934" w14:paraId="0F6FFCB0" w14:textId="77777777" w:rsidTr="00B8067E">
        <w:tc>
          <w:tcPr>
            <w:tcW w:w="1777" w:type="dxa"/>
          </w:tcPr>
          <w:p w14:paraId="5CEBCB65" w14:textId="77777777" w:rsidR="007A709C" w:rsidRPr="00F82934" w:rsidRDefault="007A709C" w:rsidP="00B8067E">
            <w:pPr>
              <w:ind w:firstLine="0"/>
              <w:jc w:val="left"/>
              <w:rPr>
                <w:rFonts w:ascii="Trebuchet MS" w:hAnsi="Trebuchet MS"/>
                <w:szCs w:val="24"/>
              </w:rPr>
            </w:pPr>
            <w:r w:rsidRPr="00F82934">
              <w:rPr>
                <w:rFonts w:ascii="Trebuchet MS" w:hAnsi="Trebuchet MS"/>
                <w:szCs w:val="24"/>
              </w:rPr>
              <w:t>Best Practice Assessment</w:t>
            </w:r>
          </w:p>
        </w:tc>
        <w:tc>
          <w:tcPr>
            <w:tcW w:w="3336" w:type="dxa"/>
          </w:tcPr>
          <w:p w14:paraId="5CE6C14C" w14:textId="77777777" w:rsidR="007A709C" w:rsidRPr="00F82934" w:rsidRDefault="007A709C" w:rsidP="007A709C">
            <w:pPr>
              <w:numPr>
                <w:ilvl w:val="0"/>
                <w:numId w:val="1"/>
              </w:numPr>
              <w:spacing w:line="240" w:lineRule="auto"/>
              <w:jc w:val="left"/>
              <w:rPr>
                <w:rFonts w:ascii="Trebuchet MS" w:hAnsi="Trebuchet MS"/>
                <w:szCs w:val="24"/>
              </w:rPr>
            </w:pPr>
            <w:r w:rsidRPr="00F82934">
              <w:rPr>
                <w:rFonts w:ascii="Trebuchet MS" w:hAnsi="Trebuchet MS"/>
                <w:szCs w:val="24"/>
              </w:rPr>
              <w:t>Quick; completed over a series of 3 to 5 meetings</w:t>
            </w:r>
          </w:p>
          <w:p w14:paraId="1B92781F" w14:textId="77777777" w:rsidR="007A709C" w:rsidRPr="00F82934" w:rsidRDefault="007A709C" w:rsidP="00B8067E">
            <w:pPr>
              <w:spacing w:line="240" w:lineRule="auto"/>
              <w:ind w:left="360" w:firstLine="0"/>
              <w:jc w:val="left"/>
              <w:rPr>
                <w:rFonts w:ascii="Trebuchet MS" w:hAnsi="Trebuchet MS"/>
                <w:szCs w:val="24"/>
              </w:rPr>
            </w:pPr>
          </w:p>
          <w:p w14:paraId="5D170C3C" w14:textId="77777777" w:rsidR="007A709C" w:rsidRPr="00F82934" w:rsidRDefault="007A709C" w:rsidP="007A709C">
            <w:pPr>
              <w:numPr>
                <w:ilvl w:val="0"/>
                <w:numId w:val="1"/>
              </w:numPr>
              <w:spacing w:line="240" w:lineRule="auto"/>
              <w:jc w:val="left"/>
              <w:rPr>
                <w:rFonts w:ascii="Trebuchet MS" w:hAnsi="Trebuchet MS"/>
                <w:szCs w:val="24"/>
              </w:rPr>
            </w:pPr>
            <w:r w:rsidRPr="00F82934">
              <w:rPr>
                <w:rFonts w:ascii="Trebuchet MS" w:hAnsi="Trebuchet MS"/>
                <w:szCs w:val="24"/>
              </w:rPr>
              <w:t>Conducted by a small team</w:t>
            </w:r>
          </w:p>
          <w:p w14:paraId="583D44DE" w14:textId="77777777" w:rsidR="007A709C" w:rsidRPr="00F82934" w:rsidRDefault="007A709C" w:rsidP="00B8067E">
            <w:pPr>
              <w:spacing w:line="240" w:lineRule="auto"/>
              <w:ind w:left="360" w:firstLine="0"/>
              <w:jc w:val="left"/>
              <w:rPr>
                <w:rFonts w:ascii="Trebuchet MS" w:hAnsi="Trebuchet MS"/>
                <w:szCs w:val="24"/>
              </w:rPr>
            </w:pPr>
          </w:p>
          <w:p w14:paraId="4187E824" w14:textId="77777777" w:rsidR="007A709C" w:rsidRPr="00F82934" w:rsidRDefault="007A709C" w:rsidP="007A709C">
            <w:pPr>
              <w:numPr>
                <w:ilvl w:val="0"/>
                <w:numId w:val="1"/>
              </w:numPr>
              <w:spacing w:line="240" w:lineRule="auto"/>
              <w:jc w:val="left"/>
              <w:rPr>
                <w:rFonts w:ascii="Trebuchet MS" w:hAnsi="Trebuchet MS"/>
                <w:szCs w:val="24"/>
              </w:rPr>
            </w:pPr>
            <w:r w:rsidRPr="00F82934">
              <w:rPr>
                <w:rFonts w:ascii="Trebuchet MS" w:hAnsi="Trebuchet MS"/>
                <w:szCs w:val="24"/>
              </w:rPr>
              <w:t>Limited data collection: review of reports or case files against a checklist of recommended practices</w:t>
            </w:r>
          </w:p>
          <w:p w14:paraId="15E191B6" w14:textId="77777777" w:rsidR="007A709C" w:rsidRPr="00F82934" w:rsidRDefault="007A709C" w:rsidP="00B8067E">
            <w:pPr>
              <w:spacing w:line="240" w:lineRule="auto"/>
              <w:ind w:left="360" w:firstLine="0"/>
              <w:jc w:val="left"/>
              <w:rPr>
                <w:rFonts w:ascii="Trebuchet MS" w:hAnsi="Trebuchet MS"/>
                <w:szCs w:val="24"/>
              </w:rPr>
            </w:pPr>
          </w:p>
          <w:p w14:paraId="099FA46C" w14:textId="77777777" w:rsidR="007A709C" w:rsidRPr="00F82934" w:rsidRDefault="007A709C" w:rsidP="007A709C">
            <w:pPr>
              <w:numPr>
                <w:ilvl w:val="0"/>
                <w:numId w:val="1"/>
              </w:numPr>
              <w:spacing w:line="240" w:lineRule="auto"/>
              <w:jc w:val="left"/>
              <w:rPr>
                <w:rFonts w:ascii="Trebuchet MS" w:hAnsi="Trebuchet MS"/>
                <w:szCs w:val="24"/>
              </w:rPr>
            </w:pPr>
            <w:r w:rsidRPr="00F82934">
              <w:rPr>
                <w:rFonts w:ascii="Trebuchet MS" w:hAnsi="Trebuchet MS"/>
                <w:szCs w:val="24"/>
              </w:rPr>
              <w:t>Focus on one or two agencies versus system</w:t>
            </w:r>
          </w:p>
          <w:p w14:paraId="4C738AA4" w14:textId="77777777" w:rsidR="007A709C" w:rsidRPr="00F82934" w:rsidRDefault="007A709C" w:rsidP="00B8067E">
            <w:pPr>
              <w:spacing w:line="240" w:lineRule="auto"/>
              <w:ind w:left="360" w:firstLine="0"/>
              <w:jc w:val="left"/>
              <w:rPr>
                <w:rFonts w:ascii="Trebuchet MS" w:hAnsi="Trebuchet MS"/>
                <w:szCs w:val="24"/>
              </w:rPr>
            </w:pPr>
          </w:p>
          <w:p w14:paraId="079A9364" w14:textId="77777777" w:rsidR="007A709C" w:rsidRPr="00F82934" w:rsidRDefault="007A709C" w:rsidP="007A709C">
            <w:pPr>
              <w:numPr>
                <w:ilvl w:val="0"/>
                <w:numId w:val="1"/>
              </w:numPr>
              <w:spacing w:line="240" w:lineRule="auto"/>
              <w:jc w:val="left"/>
              <w:rPr>
                <w:rFonts w:ascii="Trebuchet MS" w:hAnsi="Trebuchet MS"/>
                <w:szCs w:val="24"/>
              </w:rPr>
            </w:pPr>
            <w:r w:rsidRPr="00F82934">
              <w:rPr>
                <w:rFonts w:ascii="Trebuchet MS" w:hAnsi="Trebuchet MS"/>
                <w:szCs w:val="24"/>
              </w:rPr>
              <w:t>Little direct consultation with victims of abuse</w:t>
            </w:r>
          </w:p>
          <w:p w14:paraId="501526B0" w14:textId="77777777" w:rsidR="007A709C" w:rsidRPr="00F82934" w:rsidRDefault="007A709C" w:rsidP="00B8067E">
            <w:pPr>
              <w:spacing w:line="240" w:lineRule="auto"/>
              <w:ind w:left="360" w:firstLine="0"/>
              <w:jc w:val="left"/>
              <w:rPr>
                <w:rFonts w:ascii="Trebuchet MS" w:hAnsi="Trebuchet MS"/>
                <w:szCs w:val="24"/>
              </w:rPr>
            </w:pPr>
          </w:p>
          <w:p w14:paraId="567A1317" w14:textId="77777777" w:rsidR="007A709C" w:rsidRPr="00F82934" w:rsidRDefault="007A709C" w:rsidP="007A709C">
            <w:pPr>
              <w:numPr>
                <w:ilvl w:val="0"/>
                <w:numId w:val="1"/>
              </w:numPr>
              <w:spacing w:line="240" w:lineRule="auto"/>
              <w:jc w:val="left"/>
              <w:rPr>
                <w:rFonts w:ascii="Trebuchet MS" w:hAnsi="Trebuchet MS"/>
                <w:szCs w:val="24"/>
              </w:rPr>
            </w:pPr>
            <w:r w:rsidRPr="00F82934">
              <w:rPr>
                <w:rFonts w:ascii="Trebuchet MS" w:hAnsi="Trebuchet MS"/>
                <w:szCs w:val="24"/>
              </w:rPr>
              <w:t>May not need or result in a written product, such a report</w:t>
            </w:r>
          </w:p>
          <w:p w14:paraId="243B3B70" w14:textId="77777777" w:rsidR="007A709C" w:rsidRPr="00F82934" w:rsidRDefault="007A709C" w:rsidP="00B8067E">
            <w:pPr>
              <w:rPr>
                <w:rFonts w:ascii="Trebuchet MS" w:hAnsi="Trebuchet MS"/>
                <w:szCs w:val="24"/>
              </w:rPr>
            </w:pPr>
          </w:p>
        </w:tc>
        <w:tc>
          <w:tcPr>
            <w:tcW w:w="4383" w:type="dxa"/>
          </w:tcPr>
          <w:p w14:paraId="0F64089D" w14:textId="77777777" w:rsidR="007A709C" w:rsidRPr="00F82934" w:rsidRDefault="007A709C" w:rsidP="007A709C">
            <w:pPr>
              <w:numPr>
                <w:ilvl w:val="0"/>
                <w:numId w:val="3"/>
              </w:numPr>
              <w:spacing w:line="240" w:lineRule="auto"/>
              <w:jc w:val="left"/>
              <w:rPr>
                <w:rFonts w:ascii="Trebuchet MS" w:hAnsi="Trebuchet MS"/>
                <w:szCs w:val="24"/>
              </w:rPr>
            </w:pPr>
            <w:r w:rsidRPr="00F82934">
              <w:rPr>
                <w:rFonts w:ascii="Trebuchet MS" w:hAnsi="Trebuchet MS"/>
                <w:szCs w:val="24"/>
              </w:rPr>
              <w:t>Limited time</w:t>
            </w:r>
          </w:p>
          <w:p w14:paraId="0BAB291C" w14:textId="77777777" w:rsidR="007A709C" w:rsidRPr="00F82934" w:rsidRDefault="007A709C" w:rsidP="00B8067E">
            <w:pPr>
              <w:spacing w:line="240" w:lineRule="auto"/>
              <w:ind w:left="360" w:firstLine="0"/>
              <w:jc w:val="left"/>
              <w:rPr>
                <w:rFonts w:ascii="Trebuchet MS" w:hAnsi="Trebuchet MS"/>
                <w:szCs w:val="24"/>
              </w:rPr>
            </w:pPr>
          </w:p>
          <w:p w14:paraId="4054C1E2" w14:textId="77777777" w:rsidR="007A709C" w:rsidRPr="00F82934" w:rsidRDefault="007A709C" w:rsidP="007A709C">
            <w:pPr>
              <w:numPr>
                <w:ilvl w:val="0"/>
                <w:numId w:val="3"/>
              </w:numPr>
              <w:spacing w:line="240" w:lineRule="auto"/>
              <w:jc w:val="left"/>
              <w:rPr>
                <w:rFonts w:ascii="Trebuchet MS" w:hAnsi="Trebuchet MS"/>
                <w:szCs w:val="24"/>
              </w:rPr>
            </w:pPr>
            <w:r w:rsidRPr="00F82934">
              <w:rPr>
                <w:rFonts w:ascii="Trebuchet MS" w:hAnsi="Trebuchet MS"/>
                <w:szCs w:val="24"/>
              </w:rPr>
              <w:t>Limited personnel available to participate</w:t>
            </w:r>
          </w:p>
          <w:p w14:paraId="0E9EC31C" w14:textId="77777777" w:rsidR="007A709C" w:rsidRPr="00F82934" w:rsidRDefault="007A709C" w:rsidP="00B8067E">
            <w:pPr>
              <w:spacing w:line="240" w:lineRule="auto"/>
              <w:ind w:left="360" w:firstLine="0"/>
              <w:jc w:val="left"/>
              <w:rPr>
                <w:rFonts w:ascii="Trebuchet MS" w:hAnsi="Trebuchet MS"/>
                <w:szCs w:val="24"/>
              </w:rPr>
            </w:pPr>
          </w:p>
          <w:p w14:paraId="7BAFD200" w14:textId="77777777" w:rsidR="007A709C" w:rsidRPr="00F82934" w:rsidRDefault="007A709C" w:rsidP="007A709C">
            <w:pPr>
              <w:numPr>
                <w:ilvl w:val="0"/>
                <w:numId w:val="3"/>
              </w:numPr>
              <w:spacing w:line="240" w:lineRule="auto"/>
              <w:jc w:val="left"/>
              <w:rPr>
                <w:rFonts w:ascii="Trebuchet MS" w:hAnsi="Trebuchet MS"/>
                <w:szCs w:val="24"/>
              </w:rPr>
            </w:pPr>
            <w:r w:rsidRPr="00F82934">
              <w:rPr>
                <w:rFonts w:ascii="Trebuchet MS" w:hAnsi="Trebuchet MS"/>
                <w:szCs w:val="24"/>
              </w:rPr>
              <w:t>Challenging local conditions, e.g., mistrust, lack of solid partnerships and working relationships between key criminal justice system agencies</w:t>
            </w:r>
          </w:p>
          <w:p w14:paraId="2318391F" w14:textId="77777777" w:rsidR="007A709C" w:rsidRPr="00F82934" w:rsidRDefault="007A709C" w:rsidP="00B8067E">
            <w:pPr>
              <w:spacing w:line="240" w:lineRule="auto"/>
              <w:ind w:left="360" w:firstLine="0"/>
              <w:jc w:val="left"/>
              <w:rPr>
                <w:rFonts w:ascii="Trebuchet MS" w:hAnsi="Trebuchet MS"/>
                <w:szCs w:val="24"/>
              </w:rPr>
            </w:pPr>
          </w:p>
          <w:p w14:paraId="73541C1F" w14:textId="77777777" w:rsidR="007A709C" w:rsidRPr="00F82934" w:rsidRDefault="007A709C" w:rsidP="007A709C">
            <w:pPr>
              <w:numPr>
                <w:ilvl w:val="0"/>
                <w:numId w:val="3"/>
              </w:numPr>
              <w:spacing w:line="240" w:lineRule="auto"/>
              <w:jc w:val="left"/>
              <w:rPr>
                <w:rFonts w:ascii="Trebuchet MS" w:hAnsi="Trebuchet MS"/>
                <w:szCs w:val="24"/>
              </w:rPr>
            </w:pPr>
            <w:r w:rsidRPr="00F82934">
              <w:rPr>
                <w:rFonts w:ascii="Trebuchet MS" w:hAnsi="Trebuchet MS"/>
                <w:szCs w:val="24"/>
              </w:rPr>
              <w:t>A single agency (e.g., 911 center or police department) wants to examine its own practices, regardless of the extent of existing coordination or the willingness or ability of other agencies to join in an assessment</w:t>
            </w:r>
          </w:p>
          <w:p w14:paraId="7CC7C480" w14:textId="77777777" w:rsidR="007A709C" w:rsidRPr="00F82934" w:rsidRDefault="007A709C" w:rsidP="00B8067E">
            <w:pPr>
              <w:spacing w:line="240" w:lineRule="auto"/>
              <w:ind w:left="360" w:firstLine="0"/>
              <w:jc w:val="left"/>
              <w:rPr>
                <w:rFonts w:ascii="Trebuchet MS" w:hAnsi="Trebuchet MS"/>
                <w:szCs w:val="24"/>
              </w:rPr>
            </w:pPr>
          </w:p>
          <w:p w14:paraId="16CA4A6E" w14:textId="77777777" w:rsidR="007A709C" w:rsidRPr="00F82934" w:rsidRDefault="007A709C" w:rsidP="007A709C">
            <w:pPr>
              <w:numPr>
                <w:ilvl w:val="0"/>
                <w:numId w:val="3"/>
              </w:numPr>
              <w:spacing w:line="240" w:lineRule="auto"/>
              <w:jc w:val="left"/>
              <w:rPr>
                <w:rFonts w:ascii="Trebuchet MS" w:hAnsi="Trebuchet MS"/>
                <w:szCs w:val="24"/>
              </w:rPr>
            </w:pPr>
            <w:r w:rsidRPr="00F82934">
              <w:rPr>
                <w:rFonts w:ascii="Trebuchet MS" w:hAnsi="Trebuchet MS"/>
                <w:szCs w:val="24"/>
              </w:rPr>
              <w:t>Examining a narrow scope of intervention, e.g., only 911 calls or police patrol response</w:t>
            </w:r>
          </w:p>
          <w:p w14:paraId="69960F09" w14:textId="77777777" w:rsidR="007A709C" w:rsidRPr="00F82934" w:rsidRDefault="007A709C" w:rsidP="00B8067E">
            <w:pPr>
              <w:spacing w:line="240" w:lineRule="auto"/>
              <w:ind w:left="360" w:firstLine="0"/>
              <w:jc w:val="left"/>
              <w:rPr>
                <w:rFonts w:ascii="Trebuchet MS" w:hAnsi="Trebuchet MS"/>
                <w:szCs w:val="24"/>
              </w:rPr>
            </w:pPr>
          </w:p>
          <w:p w14:paraId="3CCBCB80" w14:textId="77777777" w:rsidR="007A709C" w:rsidRPr="00F82934" w:rsidRDefault="007A709C" w:rsidP="007A709C">
            <w:pPr>
              <w:numPr>
                <w:ilvl w:val="0"/>
                <w:numId w:val="3"/>
              </w:numPr>
              <w:spacing w:line="240" w:lineRule="auto"/>
              <w:jc w:val="left"/>
              <w:rPr>
                <w:rFonts w:ascii="Trebuchet MS" w:hAnsi="Trebuchet MS"/>
                <w:szCs w:val="24"/>
              </w:rPr>
            </w:pPr>
            <w:r w:rsidRPr="00F82934">
              <w:rPr>
                <w:rFonts w:ascii="Trebuchet MS" w:hAnsi="Trebuchet MS"/>
                <w:szCs w:val="24"/>
              </w:rPr>
              <w:t>The skill, ability, or time is not available to conduct a group analysis of information or produce reports or other products of such an analysis</w:t>
            </w:r>
          </w:p>
          <w:p w14:paraId="714AB14F" w14:textId="77777777" w:rsidR="007A709C" w:rsidRPr="00F82934" w:rsidRDefault="007A709C" w:rsidP="00B8067E">
            <w:pPr>
              <w:spacing w:line="240" w:lineRule="auto"/>
              <w:ind w:firstLine="0"/>
              <w:jc w:val="left"/>
              <w:rPr>
                <w:rFonts w:ascii="Trebuchet MS" w:hAnsi="Trebuchet MS"/>
                <w:szCs w:val="24"/>
              </w:rPr>
            </w:pPr>
          </w:p>
          <w:p w14:paraId="59810C4C" w14:textId="77777777" w:rsidR="007A709C" w:rsidRPr="00F82934" w:rsidRDefault="007A709C" w:rsidP="007A709C">
            <w:pPr>
              <w:numPr>
                <w:ilvl w:val="0"/>
                <w:numId w:val="3"/>
              </w:numPr>
              <w:spacing w:line="240" w:lineRule="auto"/>
              <w:jc w:val="left"/>
              <w:rPr>
                <w:rFonts w:ascii="Trebuchet MS" w:hAnsi="Trebuchet MS"/>
                <w:szCs w:val="24"/>
              </w:rPr>
            </w:pPr>
            <w:r w:rsidRPr="00F82934">
              <w:rPr>
                <w:rFonts w:ascii="Trebuchet MS" w:hAnsi="Trebuchet MS"/>
                <w:szCs w:val="24"/>
              </w:rPr>
              <w:t>Agency or CCR seeks a “tune up” following a previous Safety Audit</w:t>
            </w:r>
          </w:p>
          <w:p w14:paraId="46C1AF54" w14:textId="77777777" w:rsidR="007A709C" w:rsidRPr="00F82934" w:rsidRDefault="007A709C" w:rsidP="00B8067E">
            <w:pPr>
              <w:rPr>
                <w:rFonts w:ascii="Trebuchet MS" w:hAnsi="Trebuchet MS"/>
                <w:szCs w:val="24"/>
              </w:rPr>
            </w:pPr>
          </w:p>
        </w:tc>
      </w:tr>
      <w:tr w:rsidR="007A709C" w:rsidRPr="00F82934" w14:paraId="437AC127" w14:textId="77777777" w:rsidTr="00B8067E">
        <w:trPr>
          <w:trHeight w:val="9152"/>
        </w:trPr>
        <w:tc>
          <w:tcPr>
            <w:tcW w:w="1777" w:type="dxa"/>
          </w:tcPr>
          <w:p w14:paraId="563DB73D" w14:textId="77777777" w:rsidR="007A709C" w:rsidRPr="00F82934" w:rsidRDefault="007A709C" w:rsidP="00B8067E">
            <w:pPr>
              <w:ind w:firstLine="0"/>
              <w:jc w:val="left"/>
              <w:rPr>
                <w:rFonts w:ascii="Trebuchet MS" w:hAnsi="Trebuchet MS"/>
                <w:szCs w:val="24"/>
              </w:rPr>
            </w:pPr>
            <w:r w:rsidRPr="00F82934">
              <w:rPr>
                <w:rFonts w:ascii="Trebuchet MS" w:hAnsi="Trebuchet MS"/>
                <w:szCs w:val="24"/>
              </w:rPr>
              <w:lastRenderedPageBreak/>
              <w:t>Safety &amp; Accountability Audit</w:t>
            </w:r>
          </w:p>
        </w:tc>
        <w:tc>
          <w:tcPr>
            <w:tcW w:w="3336" w:type="dxa"/>
          </w:tcPr>
          <w:p w14:paraId="18AB8E0F" w14:textId="77777777" w:rsidR="007A709C" w:rsidRPr="00F82934" w:rsidRDefault="007A709C" w:rsidP="007A709C">
            <w:pPr>
              <w:numPr>
                <w:ilvl w:val="0"/>
                <w:numId w:val="2"/>
              </w:numPr>
              <w:spacing w:line="240" w:lineRule="auto"/>
              <w:jc w:val="left"/>
              <w:rPr>
                <w:rFonts w:ascii="Trebuchet MS" w:hAnsi="Trebuchet MS"/>
                <w:szCs w:val="24"/>
              </w:rPr>
            </w:pPr>
            <w:r w:rsidRPr="00F82934">
              <w:rPr>
                <w:rFonts w:ascii="Trebuchet MS" w:hAnsi="Trebuchet MS"/>
                <w:szCs w:val="24"/>
              </w:rPr>
              <w:t xml:space="preserve">Conducted over a period of months; typically, </w:t>
            </w:r>
            <w:r w:rsidRPr="00F82934">
              <w:rPr>
                <w:rFonts w:ascii="Trebuchet MS" w:hAnsi="Trebuchet MS"/>
                <w:szCs w:val="24"/>
              </w:rPr>
              <w:br/>
              <w:t>6 to 12</w:t>
            </w:r>
          </w:p>
          <w:p w14:paraId="08758256" w14:textId="77777777" w:rsidR="007A709C" w:rsidRPr="00F82934" w:rsidRDefault="007A709C" w:rsidP="00B8067E">
            <w:pPr>
              <w:spacing w:line="240" w:lineRule="auto"/>
              <w:ind w:left="360" w:firstLine="0"/>
              <w:jc w:val="left"/>
              <w:rPr>
                <w:rFonts w:ascii="Trebuchet MS" w:hAnsi="Trebuchet MS"/>
                <w:szCs w:val="24"/>
              </w:rPr>
            </w:pPr>
          </w:p>
          <w:p w14:paraId="1F15C927" w14:textId="77777777" w:rsidR="007A709C" w:rsidRPr="00F82934" w:rsidRDefault="007A709C" w:rsidP="007A709C">
            <w:pPr>
              <w:numPr>
                <w:ilvl w:val="0"/>
                <w:numId w:val="2"/>
              </w:numPr>
              <w:spacing w:line="240" w:lineRule="auto"/>
              <w:jc w:val="left"/>
              <w:rPr>
                <w:rFonts w:ascii="Trebuchet MS" w:hAnsi="Trebuchet MS"/>
                <w:szCs w:val="24"/>
              </w:rPr>
            </w:pPr>
            <w:r w:rsidRPr="00F82934">
              <w:rPr>
                <w:rFonts w:ascii="Trebuchet MS" w:hAnsi="Trebuchet MS"/>
                <w:szCs w:val="24"/>
              </w:rPr>
              <w:t>Trained interagency multidisciplinary team of practitioners</w:t>
            </w:r>
          </w:p>
          <w:p w14:paraId="21D2A194" w14:textId="77777777" w:rsidR="007A709C" w:rsidRPr="00F82934" w:rsidRDefault="007A709C" w:rsidP="00B8067E">
            <w:pPr>
              <w:spacing w:line="240" w:lineRule="auto"/>
              <w:ind w:firstLine="0"/>
              <w:jc w:val="left"/>
              <w:rPr>
                <w:rFonts w:ascii="Trebuchet MS" w:hAnsi="Trebuchet MS"/>
                <w:szCs w:val="24"/>
              </w:rPr>
            </w:pPr>
          </w:p>
          <w:p w14:paraId="288D7E63" w14:textId="77777777" w:rsidR="007A709C" w:rsidRPr="00F82934" w:rsidRDefault="007A709C" w:rsidP="007A709C">
            <w:pPr>
              <w:numPr>
                <w:ilvl w:val="0"/>
                <w:numId w:val="2"/>
              </w:numPr>
              <w:spacing w:line="240" w:lineRule="auto"/>
              <w:jc w:val="left"/>
              <w:rPr>
                <w:rFonts w:ascii="Trebuchet MS" w:hAnsi="Trebuchet MS"/>
                <w:szCs w:val="24"/>
              </w:rPr>
            </w:pPr>
            <w:r w:rsidRPr="00F82934">
              <w:rPr>
                <w:rFonts w:ascii="Trebuchet MS" w:hAnsi="Trebuchet MS"/>
                <w:szCs w:val="24"/>
              </w:rPr>
              <w:t xml:space="preserve">Wide data collection, including focus groups, individual interviews, observations, and text/file analysis </w:t>
            </w:r>
          </w:p>
          <w:p w14:paraId="57366AB7" w14:textId="77777777" w:rsidR="007A709C" w:rsidRPr="00F82934" w:rsidRDefault="007A709C" w:rsidP="00B8067E">
            <w:pPr>
              <w:spacing w:line="240" w:lineRule="auto"/>
              <w:ind w:left="360" w:firstLine="0"/>
              <w:jc w:val="left"/>
              <w:rPr>
                <w:rFonts w:ascii="Trebuchet MS" w:hAnsi="Trebuchet MS"/>
                <w:szCs w:val="24"/>
              </w:rPr>
            </w:pPr>
          </w:p>
          <w:p w14:paraId="5DA8C4A6" w14:textId="77777777" w:rsidR="007A709C" w:rsidRPr="00F82934" w:rsidRDefault="007A709C" w:rsidP="007A709C">
            <w:pPr>
              <w:numPr>
                <w:ilvl w:val="0"/>
                <w:numId w:val="2"/>
              </w:numPr>
              <w:spacing w:line="240" w:lineRule="auto"/>
              <w:jc w:val="left"/>
              <w:rPr>
                <w:rFonts w:ascii="Trebuchet MS" w:hAnsi="Trebuchet MS"/>
                <w:szCs w:val="24"/>
              </w:rPr>
            </w:pPr>
            <w:r w:rsidRPr="00F82934">
              <w:rPr>
                <w:rFonts w:ascii="Trebuchet MS" w:hAnsi="Trebuchet MS"/>
                <w:szCs w:val="24"/>
              </w:rPr>
              <w:t>Guided by a coordinator</w:t>
            </w:r>
          </w:p>
          <w:p w14:paraId="2E8CE9CD" w14:textId="77777777" w:rsidR="007A709C" w:rsidRPr="00F82934" w:rsidRDefault="007A709C" w:rsidP="00B8067E">
            <w:pPr>
              <w:spacing w:line="240" w:lineRule="auto"/>
              <w:ind w:firstLine="0"/>
              <w:jc w:val="left"/>
              <w:rPr>
                <w:rFonts w:ascii="Trebuchet MS" w:hAnsi="Trebuchet MS"/>
                <w:szCs w:val="24"/>
              </w:rPr>
            </w:pPr>
          </w:p>
          <w:p w14:paraId="6EF21A9D" w14:textId="77777777" w:rsidR="007A709C" w:rsidRPr="00F82934" w:rsidRDefault="007A709C" w:rsidP="007A709C">
            <w:pPr>
              <w:numPr>
                <w:ilvl w:val="0"/>
                <w:numId w:val="2"/>
              </w:numPr>
              <w:spacing w:line="240" w:lineRule="auto"/>
              <w:jc w:val="left"/>
              <w:rPr>
                <w:rFonts w:ascii="Trebuchet MS" w:hAnsi="Trebuchet MS"/>
                <w:szCs w:val="24"/>
              </w:rPr>
            </w:pPr>
            <w:r w:rsidRPr="00F82934">
              <w:rPr>
                <w:rFonts w:ascii="Trebuchet MS" w:hAnsi="Trebuchet MS"/>
                <w:szCs w:val="24"/>
              </w:rPr>
              <w:t>Examines multiple points of intervention, agencies, and systems</w:t>
            </w:r>
          </w:p>
          <w:p w14:paraId="58F3DB44" w14:textId="77777777" w:rsidR="007A709C" w:rsidRPr="00F82934" w:rsidRDefault="007A709C" w:rsidP="00B8067E">
            <w:pPr>
              <w:spacing w:line="240" w:lineRule="auto"/>
              <w:ind w:left="360" w:firstLine="0"/>
              <w:jc w:val="left"/>
              <w:rPr>
                <w:rFonts w:ascii="Trebuchet MS" w:hAnsi="Trebuchet MS"/>
                <w:szCs w:val="24"/>
              </w:rPr>
            </w:pPr>
          </w:p>
          <w:p w14:paraId="1E2F9EA4" w14:textId="77777777" w:rsidR="007A709C" w:rsidRPr="00F82934" w:rsidRDefault="007A709C" w:rsidP="007A709C">
            <w:pPr>
              <w:numPr>
                <w:ilvl w:val="0"/>
                <w:numId w:val="2"/>
              </w:numPr>
              <w:spacing w:line="240" w:lineRule="auto"/>
              <w:jc w:val="left"/>
              <w:rPr>
                <w:rFonts w:ascii="Trebuchet MS" w:hAnsi="Trebuchet MS"/>
                <w:szCs w:val="24"/>
              </w:rPr>
            </w:pPr>
            <w:r w:rsidRPr="00F82934">
              <w:rPr>
                <w:rFonts w:ascii="Trebuchet MS" w:hAnsi="Trebuchet MS"/>
                <w:szCs w:val="24"/>
              </w:rPr>
              <w:t>More complex level of analysis that examines how features of institutions shape practices</w:t>
            </w:r>
          </w:p>
          <w:p w14:paraId="23E5B260" w14:textId="77777777" w:rsidR="007A709C" w:rsidRPr="00F82934" w:rsidRDefault="007A709C" w:rsidP="00B8067E">
            <w:pPr>
              <w:spacing w:line="240" w:lineRule="auto"/>
              <w:ind w:left="360" w:firstLine="0"/>
              <w:jc w:val="left"/>
              <w:rPr>
                <w:rFonts w:ascii="Trebuchet MS" w:hAnsi="Trebuchet MS"/>
                <w:szCs w:val="24"/>
              </w:rPr>
            </w:pPr>
          </w:p>
          <w:p w14:paraId="3DF8DA93" w14:textId="77777777" w:rsidR="007A709C" w:rsidRPr="00F82934" w:rsidRDefault="007A709C" w:rsidP="007A709C">
            <w:pPr>
              <w:numPr>
                <w:ilvl w:val="0"/>
                <w:numId w:val="2"/>
              </w:numPr>
              <w:spacing w:line="240" w:lineRule="auto"/>
              <w:jc w:val="left"/>
              <w:rPr>
                <w:rFonts w:ascii="Trebuchet MS" w:hAnsi="Trebuchet MS"/>
                <w:szCs w:val="24"/>
              </w:rPr>
            </w:pPr>
            <w:r w:rsidRPr="00F82934">
              <w:rPr>
                <w:rFonts w:ascii="Trebuchet MS" w:hAnsi="Trebuchet MS"/>
                <w:szCs w:val="24"/>
              </w:rPr>
              <w:t>Anchored in consultation with victims of abuse</w:t>
            </w:r>
          </w:p>
          <w:p w14:paraId="0EE6211B" w14:textId="77777777" w:rsidR="007A709C" w:rsidRPr="00F82934" w:rsidRDefault="007A709C" w:rsidP="00B8067E">
            <w:pPr>
              <w:jc w:val="left"/>
              <w:rPr>
                <w:rFonts w:ascii="Trebuchet MS" w:hAnsi="Trebuchet MS"/>
                <w:szCs w:val="24"/>
              </w:rPr>
            </w:pPr>
          </w:p>
        </w:tc>
        <w:tc>
          <w:tcPr>
            <w:tcW w:w="4383" w:type="dxa"/>
          </w:tcPr>
          <w:p w14:paraId="2D90CB45" w14:textId="77777777" w:rsidR="007A709C" w:rsidRPr="00F82934" w:rsidRDefault="007A709C" w:rsidP="007A709C">
            <w:pPr>
              <w:numPr>
                <w:ilvl w:val="0"/>
                <w:numId w:val="4"/>
              </w:numPr>
              <w:spacing w:line="240" w:lineRule="auto"/>
              <w:jc w:val="left"/>
              <w:rPr>
                <w:rFonts w:ascii="Trebuchet MS" w:hAnsi="Trebuchet MS"/>
                <w:szCs w:val="24"/>
              </w:rPr>
            </w:pPr>
            <w:r w:rsidRPr="00F82934">
              <w:rPr>
                <w:rFonts w:ascii="Trebuchet MS" w:hAnsi="Trebuchet MS"/>
                <w:szCs w:val="24"/>
              </w:rPr>
              <w:t>Sufficient time to plan and conduct the Safety Audit</w:t>
            </w:r>
          </w:p>
          <w:p w14:paraId="26D2F454" w14:textId="77777777" w:rsidR="007A709C" w:rsidRPr="00F82934" w:rsidRDefault="007A709C" w:rsidP="00B8067E">
            <w:pPr>
              <w:spacing w:line="240" w:lineRule="auto"/>
              <w:ind w:left="360" w:firstLine="0"/>
              <w:jc w:val="left"/>
              <w:rPr>
                <w:rFonts w:ascii="Trebuchet MS" w:hAnsi="Trebuchet MS"/>
                <w:szCs w:val="24"/>
              </w:rPr>
            </w:pPr>
          </w:p>
          <w:p w14:paraId="05F40154" w14:textId="77777777" w:rsidR="007A709C" w:rsidRPr="00F82934" w:rsidRDefault="007A709C" w:rsidP="007A709C">
            <w:pPr>
              <w:numPr>
                <w:ilvl w:val="0"/>
                <w:numId w:val="4"/>
              </w:numPr>
              <w:spacing w:line="240" w:lineRule="auto"/>
              <w:jc w:val="left"/>
              <w:rPr>
                <w:rFonts w:ascii="Trebuchet MS" w:hAnsi="Trebuchet MS"/>
                <w:szCs w:val="24"/>
              </w:rPr>
            </w:pPr>
            <w:r w:rsidRPr="00F82934">
              <w:rPr>
                <w:rFonts w:ascii="Trebuchet MS" w:hAnsi="Trebuchet MS"/>
                <w:szCs w:val="24"/>
              </w:rPr>
              <w:t>An interagency multidisciplinary team can be readily assembled and trained</w:t>
            </w:r>
          </w:p>
          <w:p w14:paraId="7CE39993" w14:textId="77777777" w:rsidR="007A709C" w:rsidRPr="00F82934" w:rsidRDefault="007A709C" w:rsidP="00B8067E">
            <w:pPr>
              <w:spacing w:line="240" w:lineRule="auto"/>
              <w:ind w:firstLine="0"/>
              <w:jc w:val="left"/>
              <w:rPr>
                <w:rFonts w:ascii="Trebuchet MS" w:hAnsi="Trebuchet MS"/>
                <w:szCs w:val="24"/>
              </w:rPr>
            </w:pPr>
          </w:p>
          <w:p w14:paraId="4287A718" w14:textId="77777777" w:rsidR="007A709C" w:rsidRPr="00F82934" w:rsidRDefault="007A709C" w:rsidP="007A709C">
            <w:pPr>
              <w:numPr>
                <w:ilvl w:val="0"/>
                <w:numId w:val="4"/>
              </w:numPr>
              <w:spacing w:line="240" w:lineRule="auto"/>
              <w:jc w:val="left"/>
              <w:rPr>
                <w:rFonts w:ascii="Trebuchet MS" w:hAnsi="Trebuchet MS"/>
                <w:szCs w:val="24"/>
              </w:rPr>
            </w:pPr>
            <w:r w:rsidRPr="00F82934">
              <w:rPr>
                <w:rFonts w:ascii="Trebuchet MS" w:hAnsi="Trebuchet MS"/>
                <w:szCs w:val="24"/>
              </w:rPr>
              <w:t>Trust, skills, and abilities exist within the team to critically analyze information, identify and articulate safety and accountability issues, and make recommendations to address those issues</w:t>
            </w:r>
          </w:p>
          <w:p w14:paraId="692225F3" w14:textId="77777777" w:rsidR="007A709C" w:rsidRPr="00F82934" w:rsidRDefault="007A709C" w:rsidP="00B8067E">
            <w:pPr>
              <w:spacing w:line="240" w:lineRule="auto"/>
              <w:ind w:left="360" w:firstLine="0"/>
              <w:jc w:val="left"/>
              <w:rPr>
                <w:rFonts w:ascii="Trebuchet MS" w:hAnsi="Trebuchet MS"/>
                <w:szCs w:val="24"/>
              </w:rPr>
            </w:pPr>
          </w:p>
          <w:p w14:paraId="5E16BA23" w14:textId="77777777" w:rsidR="007A709C" w:rsidRPr="00F82934" w:rsidRDefault="007A709C" w:rsidP="007A709C">
            <w:pPr>
              <w:numPr>
                <w:ilvl w:val="0"/>
                <w:numId w:val="4"/>
              </w:numPr>
              <w:spacing w:line="240" w:lineRule="auto"/>
              <w:jc w:val="left"/>
              <w:rPr>
                <w:rFonts w:ascii="Trebuchet MS" w:hAnsi="Trebuchet MS"/>
                <w:szCs w:val="24"/>
              </w:rPr>
            </w:pPr>
            <w:r w:rsidRPr="00F82934">
              <w:rPr>
                <w:rFonts w:ascii="Trebuchet MS" w:hAnsi="Trebuchet MS"/>
                <w:szCs w:val="24"/>
              </w:rPr>
              <w:t>Strong working relationships and trust between key players and between criminal justice system agencies and community advocates</w:t>
            </w:r>
          </w:p>
          <w:p w14:paraId="28EFA8E8" w14:textId="77777777" w:rsidR="007A709C" w:rsidRPr="00F82934" w:rsidRDefault="007A709C" w:rsidP="00B8067E">
            <w:pPr>
              <w:spacing w:line="240" w:lineRule="auto"/>
              <w:ind w:left="360" w:firstLine="0"/>
              <w:jc w:val="left"/>
              <w:rPr>
                <w:rFonts w:ascii="Trebuchet MS" w:hAnsi="Trebuchet MS"/>
                <w:szCs w:val="24"/>
              </w:rPr>
            </w:pPr>
          </w:p>
          <w:p w14:paraId="0D2F9E1B" w14:textId="77777777" w:rsidR="007A709C" w:rsidRPr="00F82934" w:rsidRDefault="007A709C" w:rsidP="007A709C">
            <w:pPr>
              <w:numPr>
                <w:ilvl w:val="0"/>
                <w:numId w:val="4"/>
              </w:numPr>
              <w:spacing w:line="240" w:lineRule="auto"/>
              <w:jc w:val="left"/>
              <w:rPr>
                <w:rFonts w:ascii="Trebuchet MS" w:hAnsi="Trebuchet MS"/>
                <w:szCs w:val="24"/>
              </w:rPr>
            </w:pPr>
            <w:r w:rsidRPr="00F82934">
              <w:rPr>
                <w:rFonts w:ascii="Trebuchet MS" w:hAnsi="Trebuchet MS"/>
                <w:szCs w:val="24"/>
              </w:rPr>
              <w:t>Following an initial review of practices using the self-assessment</w:t>
            </w:r>
          </w:p>
          <w:p w14:paraId="76D132C5" w14:textId="77777777" w:rsidR="007A709C" w:rsidRPr="00F82934" w:rsidRDefault="007A709C" w:rsidP="00B8067E">
            <w:pPr>
              <w:spacing w:line="240" w:lineRule="auto"/>
              <w:ind w:left="360" w:firstLine="0"/>
              <w:jc w:val="left"/>
              <w:rPr>
                <w:rFonts w:ascii="Trebuchet MS" w:hAnsi="Trebuchet MS"/>
                <w:szCs w:val="24"/>
              </w:rPr>
            </w:pPr>
          </w:p>
          <w:p w14:paraId="52959BE9" w14:textId="77777777" w:rsidR="007A709C" w:rsidRPr="00F82934" w:rsidRDefault="007A709C" w:rsidP="007A709C">
            <w:pPr>
              <w:numPr>
                <w:ilvl w:val="0"/>
                <w:numId w:val="4"/>
              </w:numPr>
              <w:spacing w:line="240" w:lineRule="auto"/>
              <w:jc w:val="left"/>
              <w:rPr>
                <w:rFonts w:ascii="Trebuchet MS" w:hAnsi="Trebuchet MS"/>
                <w:szCs w:val="24"/>
              </w:rPr>
            </w:pPr>
            <w:r w:rsidRPr="00F82934">
              <w:rPr>
                <w:rFonts w:ascii="Trebuchet MS" w:hAnsi="Trebuchet MS"/>
                <w:szCs w:val="24"/>
              </w:rPr>
              <w:t>As a prelude to establishing a Blueprint Community</w:t>
            </w:r>
          </w:p>
          <w:p w14:paraId="508B2CA9" w14:textId="77777777" w:rsidR="007A709C" w:rsidRPr="00F82934" w:rsidRDefault="007A709C" w:rsidP="00B8067E">
            <w:pPr>
              <w:spacing w:line="240" w:lineRule="auto"/>
              <w:ind w:left="360" w:firstLine="0"/>
              <w:jc w:val="left"/>
              <w:rPr>
                <w:rFonts w:ascii="Trebuchet MS" w:hAnsi="Trebuchet MS"/>
                <w:szCs w:val="24"/>
              </w:rPr>
            </w:pPr>
          </w:p>
          <w:p w14:paraId="063D2245" w14:textId="77777777" w:rsidR="007A709C" w:rsidRPr="00F82934" w:rsidRDefault="007A709C" w:rsidP="007A709C">
            <w:pPr>
              <w:numPr>
                <w:ilvl w:val="0"/>
                <w:numId w:val="4"/>
              </w:numPr>
              <w:spacing w:line="240" w:lineRule="auto"/>
              <w:jc w:val="left"/>
              <w:rPr>
                <w:rFonts w:ascii="Trebuchet MS" w:hAnsi="Trebuchet MS"/>
                <w:szCs w:val="24"/>
              </w:rPr>
            </w:pPr>
            <w:r w:rsidRPr="00F82934">
              <w:rPr>
                <w:rFonts w:ascii="Trebuchet MS" w:hAnsi="Trebuchet MS"/>
                <w:szCs w:val="24"/>
              </w:rPr>
              <w:t>To explore more complex questions that go beyond routine practice</w:t>
            </w:r>
          </w:p>
          <w:p w14:paraId="7258607E" w14:textId="77777777" w:rsidR="007A709C" w:rsidRPr="00F82934" w:rsidRDefault="007A709C" w:rsidP="00B8067E">
            <w:pPr>
              <w:rPr>
                <w:rFonts w:ascii="Trebuchet MS" w:hAnsi="Trebuchet MS"/>
                <w:szCs w:val="24"/>
              </w:rPr>
            </w:pPr>
            <w:r w:rsidRPr="00F82934">
              <w:rPr>
                <w:rFonts w:ascii="Trebuchet MS" w:hAnsi="Trebuchet MS"/>
                <w:szCs w:val="24"/>
              </w:rPr>
              <w:t xml:space="preserve"> </w:t>
            </w:r>
          </w:p>
        </w:tc>
      </w:tr>
    </w:tbl>
    <w:p w14:paraId="5750C6EA" w14:textId="77777777" w:rsidR="007A709C" w:rsidRPr="00F82934" w:rsidRDefault="007A709C" w:rsidP="007A709C">
      <w:pPr>
        <w:ind w:firstLine="0"/>
        <w:rPr>
          <w:rFonts w:ascii="Trebuchet MS" w:hAnsi="Trebuchet MS"/>
          <w:sz w:val="20"/>
          <w:szCs w:val="20"/>
        </w:rPr>
      </w:pPr>
    </w:p>
    <w:p w14:paraId="50EBDF5D" w14:textId="77777777" w:rsidR="007A709C" w:rsidRPr="00F82934" w:rsidRDefault="007A709C" w:rsidP="007A709C">
      <w:pPr>
        <w:ind w:firstLine="0"/>
        <w:rPr>
          <w:rFonts w:ascii="Trebuchet MS" w:hAnsi="Trebuchet MS"/>
          <w:sz w:val="20"/>
          <w:szCs w:val="20"/>
        </w:rPr>
      </w:pPr>
    </w:p>
    <w:p w14:paraId="03E4E342" w14:textId="77777777" w:rsidR="007A709C" w:rsidRPr="00F82934" w:rsidRDefault="007A709C" w:rsidP="007A709C">
      <w:pPr>
        <w:ind w:firstLine="0"/>
        <w:rPr>
          <w:rFonts w:ascii="Trebuchet MS" w:hAnsi="Trebuchet MS"/>
          <w:color w:val="E7E6E6" w:themeColor="background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631"/>
        <w:gridCol w:w="3434"/>
        <w:gridCol w:w="4285"/>
      </w:tblGrid>
      <w:tr w:rsidR="007A709C" w:rsidRPr="00F82934" w14:paraId="31FC417B" w14:textId="77777777" w:rsidTr="00B8067E">
        <w:trPr>
          <w:trHeight w:val="864"/>
          <w:tblHeader/>
        </w:trPr>
        <w:tc>
          <w:tcPr>
            <w:tcW w:w="9350" w:type="dxa"/>
            <w:gridSpan w:val="3"/>
            <w:shd w:val="clear" w:color="auto" w:fill="404040" w:themeFill="text1" w:themeFillTint="BF"/>
            <w:vAlign w:val="center"/>
          </w:tcPr>
          <w:p w14:paraId="7EEF00BD" w14:textId="77777777" w:rsidR="007A709C" w:rsidRPr="00F82934" w:rsidRDefault="007A709C" w:rsidP="00B8067E">
            <w:pPr>
              <w:ind w:firstLine="0"/>
              <w:jc w:val="center"/>
              <w:rPr>
                <w:rFonts w:ascii="Trebuchet MS" w:hAnsi="Trebuchet MS" w:cs="Arial"/>
                <w:b/>
                <w:bCs/>
                <w:color w:val="E7E6E6" w:themeColor="background2"/>
                <w:sz w:val="28"/>
                <w:szCs w:val="28"/>
              </w:rPr>
            </w:pPr>
            <w:r w:rsidRPr="00F82934">
              <w:rPr>
                <w:rFonts w:ascii="Trebuchet MS" w:hAnsi="Trebuchet MS" w:cs="Arial"/>
                <w:b/>
                <w:bCs/>
                <w:color w:val="E7E6E6" w:themeColor="background2"/>
                <w:sz w:val="28"/>
                <w:szCs w:val="28"/>
              </w:rPr>
              <w:lastRenderedPageBreak/>
              <w:t>Which Approach is the Best Fit for Your Community?</w:t>
            </w:r>
          </w:p>
        </w:tc>
      </w:tr>
      <w:tr w:rsidR="007A709C" w:rsidRPr="00F82934" w14:paraId="785402B7" w14:textId="77777777" w:rsidTr="00B8067E">
        <w:trPr>
          <w:trHeight w:val="521"/>
          <w:tblHeader/>
        </w:trPr>
        <w:tc>
          <w:tcPr>
            <w:tcW w:w="1631" w:type="dxa"/>
            <w:shd w:val="clear" w:color="auto" w:fill="E7E6E6" w:themeFill="background2"/>
            <w:vAlign w:val="center"/>
          </w:tcPr>
          <w:p w14:paraId="3568D809" w14:textId="77777777" w:rsidR="007A709C" w:rsidRPr="00F82934" w:rsidRDefault="007A709C" w:rsidP="00B8067E">
            <w:pPr>
              <w:ind w:firstLine="0"/>
              <w:jc w:val="center"/>
              <w:rPr>
                <w:rFonts w:ascii="Trebuchet MS" w:hAnsi="Trebuchet MS" w:cs="Arial"/>
                <w:b/>
                <w:bCs/>
                <w:color w:val="404040" w:themeColor="text1" w:themeTint="BF"/>
                <w:szCs w:val="24"/>
              </w:rPr>
            </w:pPr>
            <w:r w:rsidRPr="00F82934">
              <w:rPr>
                <w:rFonts w:ascii="Trebuchet MS" w:hAnsi="Trebuchet MS" w:cs="Arial"/>
                <w:b/>
                <w:bCs/>
                <w:color w:val="404040" w:themeColor="text1" w:themeTint="BF"/>
                <w:szCs w:val="24"/>
              </w:rPr>
              <w:t>Method</w:t>
            </w:r>
          </w:p>
        </w:tc>
        <w:tc>
          <w:tcPr>
            <w:tcW w:w="3434" w:type="dxa"/>
            <w:shd w:val="clear" w:color="auto" w:fill="E7E6E6" w:themeFill="background2"/>
            <w:vAlign w:val="center"/>
          </w:tcPr>
          <w:p w14:paraId="1234AEA2" w14:textId="77777777" w:rsidR="007A709C" w:rsidRPr="00F82934" w:rsidRDefault="007A709C" w:rsidP="00B8067E">
            <w:pPr>
              <w:ind w:firstLine="0"/>
              <w:jc w:val="center"/>
              <w:rPr>
                <w:rFonts w:ascii="Trebuchet MS" w:hAnsi="Trebuchet MS" w:cs="Arial"/>
                <w:b/>
                <w:bCs/>
                <w:color w:val="404040" w:themeColor="text1" w:themeTint="BF"/>
                <w:szCs w:val="24"/>
              </w:rPr>
            </w:pPr>
            <w:r w:rsidRPr="00F82934">
              <w:rPr>
                <w:rFonts w:ascii="Trebuchet MS" w:hAnsi="Trebuchet MS" w:cs="Arial"/>
                <w:b/>
                <w:bCs/>
                <w:color w:val="404040" w:themeColor="text1" w:themeTint="BF"/>
                <w:szCs w:val="24"/>
              </w:rPr>
              <w:t>Features</w:t>
            </w:r>
          </w:p>
        </w:tc>
        <w:tc>
          <w:tcPr>
            <w:tcW w:w="4285" w:type="dxa"/>
            <w:shd w:val="clear" w:color="auto" w:fill="E7E6E6" w:themeFill="background2"/>
            <w:vAlign w:val="center"/>
          </w:tcPr>
          <w:p w14:paraId="0A1C3CC5" w14:textId="77777777" w:rsidR="007A709C" w:rsidRPr="00F82934" w:rsidRDefault="007A709C" w:rsidP="00B8067E">
            <w:pPr>
              <w:ind w:firstLine="0"/>
              <w:jc w:val="center"/>
              <w:rPr>
                <w:rFonts w:ascii="Trebuchet MS" w:hAnsi="Trebuchet MS" w:cs="Arial"/>
                <w:b/>
                <w:bCs/>
                <w:color w:val="404040" w:themeColor="text1" w:themeTint="BF"/>
                <w:szCs w:val="24"/>
              </w:rPr>
            </w:pPr>
            <w:r w:rsidRPr="00F82934">
              <w:rPr>
                <w:rFonts w:ascii="Trebuchet MS" w:hAnsi="Trebuchet MS" w:cs="Arial"/>
                <w:b/>
                <w:bCs/>
                <w:color w:val="404040" w:themeColor="text1" w:themeTint="BF"/>
                <w:szCs w:val="24"/>
              </w:rPr>
              <w:t>Best Fit When…</w:t>
            </w:r>
          </w:p>
        </w:tc>
      </w:tr>
      <w:tr w:rsidR="007A709C" w:rsidRPr="00F82934" w14:paraId="77DF7C9F" w14:textId="77777777" w:rsidTr="00B8067E">
        <w:tc>
          <w:tcPr>
            <w:tcW w:w="1631" w:type="dxa"/>
          </w:tcPr>
          <w:p w14:paraId="49F92CAD" w14:textId="77777777" w:rsidR="007A709C" w:rsidRPr="00F82934" w:rsidRDefault="007A709C" w:rsidP="00B8067E">
            <w:pPr>
              <w:spacing w:line="240" w:lineRule="auto"/>
              <w:ind w:firstLine="0"/>
              <w:jc w:val="left"/>
              <w:rPr>
                <w:rFonts w:ascii="Trebuchet MS" w:hAnsi="Trebuchet MS"/>
                <w:szCs w:val="24"/>
              </w:rPr>
            </w:pPr>
            <w:r w:rsidRPr="00F82934">
              <w:rPr>
                <w:rFonts w:ascii="Trebuchet MS" w:hAnsi="Trebuchet MS"/>
                <w:szCs w:val="24"/>
              </w:rPr>
              <w:t>Blueprint</w:t>
            </w:r>
            <w:r w:rsidRPr="00F82934">
              <w:rPr>
                <w:rFonts w:ascii="Trebuchet MS" w:hAnsi="Trebuchet MS"/>
                <w:szCs w:val="24"/>
              </w:rPr>
              <w:br/>
              <w:t>for Safety</w:t>
            </w:r>
          </w:p>
        </w:tc>
        <w:tc>
          <w:tcPr>
            <w:tcW w:w="3434" w:type="dxa"/>
          </w:tcPr>
          <w:p w14:paraId="7733CEF9" w14:textId="77777777" w:rsidR="007A709C" w:rsidRPr="00F82934" w:rsidRDefault="007A709C" w:rsidP="007A709C">
            <w:pPr>
              <w:numPr>
                <w:ilvl w:val="0"/>
                <w:numId w:val="5"/>
              </w:numPr>
              <w:spacing w:line="240" w:lineRule="auto"/>
              <w:jc w:val="left"/>
              <w:rPr>
                <w:rFonts w:ascii="Trebuchet MS" w:hAnsi="Trebuchet MS"/>
                <w:sz w:val="23"/>
                <w:szCs w:val="23"/>
              </w:rPr>
            </w:pPr>
            <w:r w:rsidRPr="00F82934">
              <w:rPr>
                <w:rFonts w:ascii="Trebuchet MS" w:hAnsi="Trebuchet MS"/>
                <w:sz w:val="23"/>
                <w:szCs w:val="23"/>
              </w:rPr>
              <w:t>Long-term commitment to evaluation &amp; implementation</w:t>
            </w:r>
          </w:p>
          <w:p w14:paraId="19981667" w14:textId="77777777" w:rsidR="007A709C" w:rsidRPr="00F82934" w:rsidRDefault="007A709C" w:rsidP="00B8067E">
            <w:pPr>
              <w:spacing w:line="240" w:lineRule="auto"/>
              <w:ind w:firstLine="720"/>
              <w:jc w:val="left"/>
              <w:rPr>
                <w:rFonts w:ascii="Trebuchet MS" w:hAnsi="Trebuchet MS"/>
                <w:sz w:val="23"/>
                <w:szCs w:val="23"/>
              </w:rPr>
            </w:pPr>
          </w:p>
          <w:p w14:paraId="7AA02F47" w14:textId="77777777" w:rsidR="007A709C" w:rsidRPr="00F82934" w:rsidRDefault="007A709C" w:rsidP="007A709C">
            <w:pPr>
              <w:numPr>
                <w:ilvl w:val="0"/>
                <w:numId w:val="5"/>
              </w:numPr>
              <w:spacing w:line="240" w:lineRule="auto"/>
              <w:jc w:val="left"/>
              <w:rPr>
                <w:rFonts w:ascii="Trebuchet MS" w:hAnsi="Trebuchet MS"/>
                <w:sz w:val="23"/>
                <w:szCs w:val="23"/>
              </w:rPr>
            </w:pPr>
            <w:r w:rsidRPr="00F82934">
              <w:rPr>
                <w:rFonts w:ascii="Trebuchet MS" w:hAnsi="Trebuchet MS"/>
                <w:sz w:val="23"/>
                <w:szCs w:val="23"/>
              </w:rPr>
              <w:t>Commitment from all key criminal justice system agencies</w:t>
            </w:r>
          </w:p>
          <w:p w14:paraId="6E42AA08" w14:textId="77777777" w:rsidR="007A709C" w:rsidRPr="00F82934" w:rsidRDefault="007A709C" w:rsidP="00B8067E">
            <w:pPr>
              <w:spacing w:line="240" w:lineRule="auto"/>
              <w:ind w:firstLine="0"/>
              <w:jc w:val="left"/>
              <w:rPr>
                <w:rFonts w:ascii="Trebuchet MS" w:hAnsi="Trebuchet MS"/>
                <w:sz w:val="23"/>
                <w:szCs w:val="23"/>
              </w:rPr>
            </w:pPr>
          </w:p>
          <w:p w14:paraId="0E81DCD6" w14:textId="77777777" w:rsidR="007A709C" w:rsidRPr="00F82934" w:rsidRDefault="007A709C" w:rsidP="007A709C">
            <w:pPr>
              <w:numPr>
                <w:ilvl w:val="0"/>
                <w:numId w:val="5"/>
              </w:numPr>
              <w:spacing w:line="240" w:lineRule="auto"/>
              <w:jc w:val="left"/>
              <w:rPr>
                <w:rFonts w:ascii="Trebuchet MS" w:hAnsi="Trebuchet MS"/>
                <w:sz w:val="23"/>
                <w:szCs w:val="23"/>
              </w:rPr>
            </w:pPr>
            <w:r w:rsidRPr="00F82934">
              <w:rPr>
                <w:rFonts w:ascii="Trebuchet MS" w:hAnsi="Trebuchet MS"/>
                <w:sz w:val="23"/>
                <w:szCs w:val="23"/>
              </w:rPr>
              <w:t>Central role for community advocates in shaping criminal justice system policies and protocols</w:t>
            </w:r>
          </w:p>
          <w:p w14:paraId="2701AED2" w14:textId="77777777" w:rsidR="007A709C" w:rsidRPr="00F82934" w:rsidRDefault="007A709C" w:rsidP="00B8067E">
            <w:pPr>
              <w:spacing w:line="240" w:lineRule="auto"/>
              <w:ind w:left="360" w:firstLine="0"/>
              <w:jc w:val="left"/>
              <w:rPr>
                <w:rFonts w:ascii="Trebuchet MS" w:hAnsi="Trebuchet MS"/>
                <w:sz w:val="23"/>
                <w:szCs w:val="23"/>
              </w:rPr>
            </w:pPr>
          </w:p>
          <w:p w14:paraId="069C8728" w14:textId="77777777" w:rsidR="007A709C" w:rsidRPr="00F82934" w:rsidRDefault="007A709C" w:rsidP="007A709C">
            <w:pPr>
              <w:numPr>
                <w:ilvl w:val="0"/>
                <w:numId w:val="5"/>
              </w:numPr>
              <w:spacing w:line="240" w:lineRule="auto"/>
              <w:jc w:val="left"/>
              <w:rPr>
                <w:rFonts w:ascii="Trebuchet MS" w:hAnsi="Trebuchet MS"/>
                <w:sz w:val="23"/>
                <w:szCs w:val="23"/>
              </w:rPr>
            </w:pPr>
            <w:r w:rsidRPr="00F82934">
              <w:rPr>
                <w:rFonts w:ascii="Trebuchet MS" w:hAnsi="Trebuchet MS"/>
                <w:sz w:val="23"/>
                <w:szCs w:val="23"/>
              </w:rPr>
              <w:t>Multi-agency process</w:t>
            </w:r>
          </w:p>
          <w:p w14:paraId="3DF9CD58" w14:textId="77777777" w:rsidR="007A709C" w:rsidRPr="00F82934" w:rsidRDefault="007A709C" w:rsidP="00B8067E">
            <w:pPr>
              <w:spacing w:line="240" w:lineRule="auto"/>
              <w:ind w:firstLine="0"/>
              <w:jc w:val="left"/>
              <w:rPr>
                <w:rFonts w:ascii="Trebuchet MS" w:hAnsi="Trebuchet MS"/>
                <w:sz w:val="23"/>
                <w:szCs w:val="23"/>
              </w:rPr>
            </w:pPr>
          </w:p>
          <w:p w14:paraId="33476B35" w14:textId="77777777" w:rsidR="007A709C" w:rsidRPr="00F82934" w:rsidRDefault="007A709C" w:rsidP="007A709C">
            <w:pPr>
              <w:numPr>
                <w:ilvl w:val="0"/>
                <w:numId w:val="5"/>
              </w:numPr>
              <w:spacing w:line="240" w:lineRule="auto"/>
              <w:jc w:val="left"/>
              <w:rPr>
                <w:rFonts w:ascii="Trebuchet MS" w:hAnsi="Trebuchet MS"/>
                <w:sz w:val="23"/>
                <w:szCs w:val="23"/>
              </w:rPr>
            </w:pPr>
            <w:r w:rsidRPr="00F82934">
              <w:rPr>
                <w:rFonts w:ascii="Trebuchet MS" w:hAnsi="Trebuchet MS"/>
                <w:sz w:val="23"/>
                <w:szCs w:val="23"/>
              </w:rPr>
              <w:t>Agreed-upon agency and designate person organizes the work</w:t>
            </w:r>
          </w:p>
          <w:p w14:paraId="55E8999C" w14:textId="77777777" w:rsidR="007A709C" w:rsidRPr="00F82934" w:rsidRDefault="007A709C" w:rsidP="00B8067E">
            <w:pPr>
              <w:spacing w:line="240" w:lineRule="auto"/>
              <w:ind w:left="360" w:firstLine="0"/>
              <w:jc w:val="left"/>
              <w:rPr>
                <w:rFonts w:ascii="Trebuchet MS" w:hAnsi="Trebuchet MS"/>
                <w:sz w:val="23"/>
                <w:szCs w:val="23"/>
              </w:rPr>
            </w:pPr>
          </w:p>
          <w:p w14:paraId="5759C8D7" w14:textId="77777777" w:rsidR="007A709C" w:rsidRPr="00F82934" w:rsidRDefault="007A709C" w:rsidP="007A709C">
            <w:pPr>
              <w:numPr>
                <w:ilvl w:val="0"/>
                <w:numId w:val="5"/>
              </w:numPr>
              <w:spacing w:line="240" w:lineRule="auto"/>
              <w:jc w:val="left"/>
              <w:rPr>
                <w:rFonts w:ascii="Trebuchet MS" w:hAnsi="Trebuchet MS"/>
                <w:sz w:val="23"/>
                <w:szCs w:val="23"/>
              </w:rPr>
            </w:pPr>
            <w:r w:rsidRPr="00F82934">
              <w:rPr>
                <w:rFonts w:ascii="Trebuchet MS" w:hAnsi="Trebuchet MS"/>
                <w:sz w:val="23"/>
                <w:szCs w:val="23"/>
              </w:rPr>
              <w:t>Rests on previous examination of the community response</w:t>
            </w:r>
          </w:p>
          <w:p w14:paraId="2A7AD1C6" w14:textId="77777777" w:rsidR="007A709C" w:rsidRPr="00F82934" w:rsidRDefault="007A709C" w:rsidP="00B8067E">
            <w:pPr>
              <w:spacing w:line="240" w:lineRule="auto"/>
              <w:ind w:left="360" w:firstLine="0"/>
              <w:jc w:val="left"/>
              <w:rPr>
                <w:rFonts w:ascii="Trebuchet MS" w:hAnsi="Trebuchet MS"/>
                <w:sz w:val="23"/>
                <w:szCs w:val="23"/>
              </w:rPr>
            </w:pPr>
          </w:p>
          <w:p w14:paraId="44CE6176" w14:textId="77777777" w:rsidR="007A709C" w:rsidRPr="00F82934" w:rsidRDefault="007A709C" w:rsidP="007A709C">
            <w:pPr>
              <w:numPr>
                <w:ilvl w:val="0"/>
                <w:numId w:val="5"/>
              </w:numPr>
              <w:spacing w:line="240" w:lineRule="auto"/>
              <w:jc w:val="left"/>
              <w:rPr>
                <w:rFonts w:ascii="Trebuchet MS" w:hAnsi="Trebuchet MS"/>
                <w:sz w:val="23"/>
                <w:szCs w:val="23"/>
              </w:rPr>
            </w:pPr>
            <w:r w:rsidRPr="00F82934">
              <w:rPr>
                <w:rFonts w:ascii="Trebuchet MS" w:hAnsi="Trebuchet MS"/>
                <w:sz w:val="23"/>
                <w:szCs w:val="23"/>
              </w:rPr>
              <w:t>Data collection activities</w:t>
            </w:r>
          </w:p>
          <w:p w14:paraId="3C7DBF1D" w14:textId="77777777" w:rsidR="007A709C" w:rsidRPr="00F82934" w:rsidRDefault="007A709C" w:rsidP="00B8067E">
            <w:pPr>
              <w:spacing w:line="240" w:lineRule="auto"/>
              <w:ind w:left="360" w:firstLine="0"/>
              <w:jc w:val="left"/>
              <w:rPr>
                <w:rFonts w:ascii="Trebuchet MS" w:hAnsi="Trebuchet MS"/>
                <w:sz w:val="23"/>
                <w:szCs w:val="23"/>
              </w:rPr>
            </w:pPr>
          </w:p>
          <w:p w14:paraId="3F198DCF" w14:textId="77777777" w:rsidR="007A709C" w:rsidRPr="00F82934" w:rsidRDefault="007A709C" w:rsidP="007A709C">
            <w:pPr>
              <w:numPr>
                <w:ilvl w:val="0"/>
                <w:numId w:val="5"/>
              </w:numPr>
              <w:spacing w:line="240" w:lineRule="auto"/>
              <w:jc w:val="left"/>
              <w:rPr>
                <w:rFonts w:ascii="Trebuchet MS" w:hAnsi="Trebuchet MS"/>
                <w:sz w:val="23"/>
                <w:szCs w:val="23"/>
              </w:rPr>
            </w:pPr>
            <w:r w:rsidRPr="00F82934">
              <w:rPr>
                <w:rFonts w:ascii="Trebuchet MS" w:hAnsi="Trebuchet MS"/>
                <w:sz w:val="23"/>
                <w:szCs w:val="23"/>
              </w:rPr>
              <w:t>Focus on evaluation and revision of existing policies and protocols</w:t>
            </w:r>
          </w:p>
          <w:p w14:paraId="5262029C" w14:textId="77777777" w:rsidR="007A709C" w:rsidRPr="00F82934" w:rsidRDefault="007A709C" w:rsidP="00B8067E">
            <w:pPr>
              <w:spacing w:line="240" w:lineRule="auto"/>
              <w:ind w:firstLine="0"/>
              <w:jc w:val="left"/>
              <w:rPr>
                <w:rFonts w:ascii="Trebuchet MS" w:hAnsi="Trebuchet MS"/>
                <w:sz w:val="23"/>
                <w:szCs w:val="23"/>
              </w:rPr>
            </w:pPr>
          </w:p>
          <w:p w14:paraId="150AEE4B" w14:textId="77777777" w:rsidR="007A709C" w:rsidRPr="00F82934" w:rsidRDefault="007A709C" w:rsidP="007A709C">
            <w:pPr>
              <w:numPr>
                <w:ilvl w:val="0"/>
                <w:numId w:val="5"/>
              </w:numPr>
              <w:spacing w:line="240" w:lineRule="auto"/>
              <w:jc w:val="left"/>
              <w:rPr>
                <w:rFonts w:ascii="Trebuchet MS" w:hAnsi="Trebuchet MS"/>
                <w:szCs w:val="24"/>
              </w:rPr>
            </w:pPr>
            <w:r w:rsidRPr="00F82934">
              <w:rPr>
                <w:rFonts w:ascii="Trebuchet MS" w:hAnsi="Trebuchet MS"/>
                <w:sz w:val="23"/>
                <w:szCs w:val="23"/>
              </w:rPr>
              <w:t>Meaningful consultation with community members who are most impacted by criminal justice system and public policies</w:t>
            </w:r>
          </w:p>
        </w:tc>
        <w:tc>
          <w:tcPr>
            <w:tcW w:w="4285" w:type="dxa"/>
          </w:tcPr>
          <w:p w14:paraId="5F6481FE" w14:textId="77777777" w:rsidR="007A709C" w:rsidRPr="00F82934" w:rsidRDefault="007A709C" w:rsidP="007A709C">
            <w:pPr>
              <w:numPr>
                <w:ilvl w:val="0"/>
                <w:numId w:val="6"/>
              </w:numPr>
              <w:spacing w:line="240" w:lineRule="auto"/>
              <w:jc w:val="left"/>
              <w:rPr>
                <w:rFonts w:ascii="Trebuchet MS" w:hAnsi="Trebuchet MS"/>
                <w:sz w:val="23"/>
                <w:szCs w:val="23"/>
              </w:rPr>
            </w:pPr>
            <w:r w:rsidRPr="00F82934">
              <w:rPr>
                <w:rFonts w:ascii="Trebuchet MS" w:hAnsi="Trebuchet MS"/>
                <w:sz w:val="23"/>
                <w:szCs w:val="23"/>
              </w:rPr>
              <w:t>Prepared to review and write policy and procedure for each step of case processing</w:t>
            </w:r>
          </w:p>
          <w:p w14:paraId="2DDBE9CE" w14:textId="77777777" w:rsidR="007A709C" w:rsidRPr="00F82934" w:rsidRDefault="007A709C" w:rsidP="00B8067E">
            <w:pPr>
              <w:spacing w:line="240" w:lineRule="auto"/>
              <w:ind w:left="360" w:firstLine="0"/>
              <w:jc w:val="left"/>
              <w:rPr>
                <w:rFonts w:ascii="Trebuchet MS" w:hAnsi="Trebuchet MS"/>
                <w:sz w:val="23"/>
                <w:szCs w:val="23"/>
              </w:rPr>
            </w:pPr>
          </w:p>
          <w:p w14:paraId="68A55954" w14:textId="77777777" w:rsidR="007A709C" w:rsidRPr="00F82934" w:rsidRDefault="007A709C" w:rsidP="007A709C">
            <w:pPr>
              <w:numPr>
                <w:ilvl w:val="0"/>
                <w:numId w:val="6"/>
              </w:numPr>
              <w:spacing w:line="240" w:lineRule="auto"/>
              <w:jc w:val="left"/>
              <w:rPr>
                <w:rFonts w:ascii="Trebuchet MS" w:hAnsi="Trebuchet MS"/>
                <w:sz w:val="23"/>
                <w:szCs w:val="23"/>
              </w:rPr>
            </w:pPr>
            <w:r w:rsidRPr="00F82934">
              <w:rPr>
                <w:rFonts w:ascii="Trebuchet MS" w:hAnsi="Trebuchet MS"/>
                <w:sz w:val="23"/>
                <w:szCs w:val="23"/>
              </w:rPr>
              <w:t>Way of implementing Safety Audit findings and recommendations</w:t>
            </w:r>
          </w:p>
          <w:p w14:paraId="2A60CF06" w14:textId="77777777" w:rsidR="007A709C" w:rsidRPr="00F82934" w:rsidRDefault="007A709C" w:rsidP="00B8067E">
            <w:pPr>
              <w:spacing w:line="240" w:lineRule="auto"/>
              <w:ind w:firstLine="0"/>
              <w:jc w:val="left"/>
              <w:rPr>
                <w:rFonts w:ascii="Trebuchet MS" w:hAnsi="Trebuchet MS"/>
                <w:sz w:val="23"/>
                <w:szCs w:val="23"/>
              </w:rPr>
            </w:pPr>
          </w:p>
          <w:p w14:paraId="5EF2D50C" w14:textId="77777777" w:rsidR="007A709C" w:rsidRPr="00F82934" w:rsidRDefault="007A709C" w:rsidP="00B8067E">
            <w:pPr>
              <w:spacing w:line="240" w:lineRule="auto"/>
              <w:ind w:firstLine="0"/>
              <w:jc w:val="left"/>
              <w:rPr>
                <w:rFonts w:ascii="Trebuchet MS" w:hAnsi="Trebuchet MS"/>
                <w:sz w:val="23"/>
                <w:szCs w:val="23"/>
              </w:rPr>
            </w:pPr>
          </w:p>
          <w:p w14:paraId="24E40C38" w14:textId="77777777" w:rsidR="007A709C" w:rsidRPr="00F82934" w:rsidRDefault="007A709C" w:rsidP="007A709C">
            <w:pPr>
              <w:numPr>
                <w:ilvl w:val="0"/>
                <w:numId w:val="6"/>
              </w:numPr>
              <w:spacing w:line="240" w:lineRule="auto"/>
              <w:jc w:val="left"/>
              <w:rPr>
                <w:rFonts w:ascii="Trebuchet MS" w:hAnsi="Trebuchet MS"/>
                <w:sz w:val="23"/>
                <w:szCs w:val="23"/>
              </w:rPr>
            </w:pPr>
            <w:r w:rsidRPr="00F82934">
              <w:rPr>
                <w:rFonts w:ascii="Trebuchet MS" w:hAnsi="Trebuchet MS"/>
                <w:sz w:val="23"/>
                <w:szCs w:val="23"/>
              </w:rPr>
              <w:t>Key criminal justice system leaders are committed to a cohesive approach</w:t>
            </w:r>
          </w:p>
          <w:p w14:paraId="5BB59888" w14:textId="77777777" w:rsidR="007A709C" w:rsidRPr="00F82934" w:rsidRDefault="007A709C" w:rsidP="00B8067E">
            <w:pPr>
              <w:spacing w:line="240" w:lineRule="auto"/>
              <w:ind w:left="360" w:firstLine="0"/>
              <w:jc w:val="left"/>
              <w:rPr>
                <w:rFonts w:ascii="Trebuchet MS" w:hAnsi="Trebuchet MS"/>
                <w:sz w:val="23"/>
                <w:szCs w:val="23"/>
              </w:rPr>
            </w:pPr>
          </w:p>
          <w:p w14:paraId="60A99197" w14:textId="77777777" w:rsidR="007A709C" w:rsidRPr="00F82934" w:rsidRDefault="007A709C" w:rsidP="007A709C">
            <w:pPr>
              <w:numPr>
                <w:ilvl w:val="0"/>
                <w:numId w:val="6"/>
              </w:numPr>
              <w:spacing w:line="240" w:lineRule="auto"/>
              <w:jc w:val="left"/>
              <w:rPr>
                <w:rFonts w:ascii="Trebuchet MS" w:hAnsi="Trebuchet MS"/>
                <w:sz w:val="23"/>
                <w:szCs w:val="23"/>
              </w:rPr>
            </w:pPr>
            <w:r w:rsidRPr="00F82934">
              <w:rPr>
                <w:rFonts w:ascii="Trebuchet MS" w:hAnsi="Trebuchet MS"/>
                <w:sz w:val="23"/>
                <w:szCs w:val="23"/>
              </w:rPr>
              <w:t>Key leaders agree that the Blueprint Principles will guide intervention at each step</w:t>
            </w:r>
          </w:p>
          <w:p w14:paraId="6443352E" w14:textId="77777777" w:rsidR="007A709C" w:rsidRPr="00F82934" w:rsidRDefault="007A709C" w:rsidP="00B8067E">
            <w:pPr>
              <w:spacing w:line="240" w:lineRule="auto"/>
              <w:ind w:firstLine="0"/>
              <w:jc w:val="left"/>
              <w:rPr>
                <w:rFonts w:ascii="Trebuchet MS" w:hAnsi="Trebuchet MS"/>
                <w:sz w:val="23"/>
                <w:szCs w:val="23"/>
              </w:rPr>
            </w:pPr>
          </w:p>
          <w:p w14:paraId="015C1210" w14:textId="77777777" w:rsidR="007A709C" w:rsidRPr="00F82934" w:rsidRDefault="007A709C" w:rsidP="007A709C">
            <w:pPr>
              <w:numPr>
                <w:ilvl w:val="0"/>
                <w:numId w:val="6"/>
              </w:numPr>
              <w:spacing w:line="240" w:lineRule="auto"/>
              <w:jc w:val="left"/>
              <w:rPr>
                <w:rFonts w:ascii="Trebuchet MS" w:hAnsi="Trebuchet MS"/>
                <w:sz w:val="23"/>
                <w:szCs w:val="23"/>
              </w:rPr>
            </w:pPr>
            <w:r w:rsidRPr="00F82934">
              <w:rPr>
                <w:rFonts w:ascii="Trebuchet MS" w:hAnsi="Trebuchet MS"/>
                <w:sz w:val="23"/>
                <w:szCs w:val="23"/>
              </w:rPr>
              <w:t>Agreed-upon central role for advocates to comment on and help shape criminal justice system policies and protocols</w:t>
            </w:r>
          </w:p>
          <w:p w14:paraId="442D95F3" w14:textId="77777777" w:rsidR="007A709C" w:rsidRPr="00F82934" w:rsidRDefault="007A709C" w:rsidP="00B8067E">
            <w:pPr>
              <w:spacing w:line="240" w:lineRule="auto"/>
              <w:ind w:left="360" w:firstLine="0"/>
              <w:jc w:val="left"/>
              <w:rPr>
                <w:rFonts w:ascii="Trebuchet MS" w:hAnsi="Trebuchet MS"/>
                <w:sz w:val="23"/>
                <w:szCs w:val="23"/>
              </w:rPr>
            </w:pPr>
          </w:p>
          <w:p w14:paraId="23DE7694" w14:textId="77777777" w:rsidR="007A709C" w:rsidRPr="00F82934" w:rsidRDefault="007A709C" w:rsidP="007A709C">
            <w:pPr>
              <w:numPr>
                <w:ilvl w:val="0"/>
                <w:numId w:val="6"/>
              </w:numPr>
              <w:spacing w:line="240" w:lineRule="auto"/>
              <w:jc w:val="left"/>
              <w:rPr>
                <w:rFonts w:ascii="Trebuchet MS" w:hAnsi="Trebuchet MS"/>
                <w:sz w:val="23"/>
                <w:szCs w:val="23"/>
              </w:rPr>
            </w:pPr>
            <w:r w:rsidRPr="00F82934">
              <w:rPr>
                <w:rFonts w:ascii="Trebuchet MS" w:hAnsi="Trebuchet MS"/>
                <w:sz w:val="23"/>
                <w:szCs w:val="23"/>
              </w:rPr>
              <w:t>At least one agency and designated person will act as overall coordinator</w:t>
            </w:r>
          </w:p>
          <w:p w14:paraId="2877CEE7" w14:textId="77777777" w:rsidR="007A709C" w:rsidRPr="00F82934" w:rsidRDefault="007A709C" w:rsidP="00B8067E">
            <w:pPr>
              <w:spacing w:line="240" w:lineRule="auto"/>
              <w:ind w:left="360" w:firstLine="0"/>
              <w:jc w:val="left"/>
              <w:rPr>
                <w:rFonts w:ascii="Trebuchet MS" w:hAnsi="Trebuchet MS"/>
                <w:sz w:val="23"/>
                <w:szCs w:val="23"/>
              </w:rPr>
            </w:pPr>
          </w:p>
          <w:p w14:paraId="1749442B" w14:textId="77777777" w:rsidR="007A709C" w:rsidRPr="00F82934" w:rsidRDefault="007A709C" w:rsidP="007A709C">
            <w:pPr>
              <w:numPr>
                <w:ilvl w:val="0"/>
                <w:numId w:val="6"/>
              </w:numPr>
              <w:spacing w:line="240" w:lineRule="auto"/>
              <w:jc w:val="left"/>
              <w:rPr>
                <w:rFonts w:ascii="Trebuchet MS" w:hAnsi="Trebuchet MS"/>
                <w:sz w:val="23"/>
                <w:szCs w:val="23"/>
              </w:rPr>
            </w:pPr>
            <w:r w:rsidRPr="00F82934">
              <w:rPr>
                <w:rFonts w:ascii="Trebuchet MS" w:hAnsi="Trebuchet MS"/>
                <w:sz w:val="23"/>
                <w:szCs w:val="23"/>
              </w:rPr>
              <w:t>Can establish a working committee with representation from each agency</w:t>
            </w:r>
          </w:p>
          <w:p w14:paraId="70C8EDB3" w14:textId="77777777" w:rsidR="007A709C" w:rsidRPr="00F82934" w:rsidRDefault="007A709C" w:rsidP="00B8067E">
            <w:pPr>
              <w:spacing w:line="240" w:lineRule="auto"/>
              <w:ind w:left="360" w:firstLine="0"/>
              <w:jc w:val="left"/>
              <w:rPr>
                <w:rFonts w:ascii="Trebuchet MS" w:hAnsi="Trebuchet MS"/>
                <w:sz w:val="23"/>
                <w:szCs w:val="23"/>
              </w:rPr>
            </w:pPr>
          </w:p>
          <w:p w14:paraId="6753E230" w14:textId="77777777" w:rsidR="007A709C" w:rsidRPr="00F82934" w:rsidRDefault="007A709C" w:rsidP="007A709C">
            <w:pPr>
              <w:numPr>
                <w:ilvl w:val="0"/>
                <w:numId w:val="6"/>
              </w:numPr>
              <w:spacing w:line="240" w:lineRule="auto"/>
              <w:jc w:val="left"/>
              <w:rPr>
                <w:rFonts w:ascii="Trebuchet MS" w:hAnsi="Trebuchet MS"/>
                <w:sz w:val="23"/>
                <w:szCs w:val="23"/>
              </w:rPr>
            </w:pPr>
            <w:r w:rsidRPr="00F82934">
              <w:rPr>
                <w:rFonts w:ascii="Trebuchet MS" w:hAnsi="Trebuchet MS"/>
                <w:sz w:val="23"/>
                <w:szCs w:val="23"/>
              </w:rPr>
              <w:t>Willing to make a long-term commitment to ongoing monitoring and evaluation</w:t>
            </w:r>
          </w:p>
          <w:p w14:paraId="18193683" w14:textId="77777777" w:rsidR="007A709C" w:rsidRPr="00F82934" w:rsidRDefault="007A709C" w:rsidP="00B8067E">
            <w:pPr>
              <w:spacing w:line="240" w:lineRule="auto"/>
              <w:ind w:firstLine="0"/>
              <w:jc w:val="left"/>
              <w:rPr>
                <w:rFonts w:ascii="Trebuchet MS" w:hAnsi="Trebuchet MS"/>
                <w:sz w:val="23"/>
                <w:szCs w:val="23"/>
              </w:rPr>
            </w:pPr>
          </w:p>
          <w:p w14:paraId="1A4D08B9" w14:textId="77777777" w:rsidR="007A709C" w:rsidRPr="00F82934" w:rsidRDefault="007A709C" w:rsidP="007A709C">
            <w:pPr>
              <w:numPr>
                <w:ilvl w:val="0"/>
                <w:numId w:val="6"/>
              </w:numPr>
              <w:spacing w:line="240" w:lineRule="auto"/>
              <w:jc w:val="left"/>
              <w:rPr>
                <w:rFonts w:ascii="Trebuchet MS" w:hAnsi="Trebuchet MS"/>
                <w:szCs w:val="24"/>
              </w:rPr>
            </w:pPr>
            <w:r w:rsidRPr="00F82934">
              <w:rPr>
                <w:rFonts w:ascii="Trebuchet MS" w:hAnsi="Trebuchet MS"/>
                <w:sz w:val="23"/>
                <w:szCs w:val="23"/>
              </w:rPr>
              <w:t>A designated entity has sufficient authority and resources to</w:t>
            </w:r>
            <w:r w:rsidRPr="00F82934">
              <w:rPr>
                <w:rFonts w:ascii="Trebuchet MS" w:hAnsi="Trebuchet MS"/>
                <w:szCs w:val="24"/>
              </w:rPr>
              <w:t xml:space="preserve"> monitor and actively sustain the Blueprint</w:t>
            </w:r>
          </w:p>
          <w:p w14:paraId="18545F7A" w14:textId="77777777" w:rsidR="007A709C" w:rsidRPr="00F82934" w:rsidRDefault="007A709C" w:rsidP="00B8067E">
            <w:pPr>
              <w:spacing w:before="40" w:line="240" w:lineRule="auto"/>
              <w:rPr>
                <w:rFonts w:ascii="Trebuchet MS" w:hAnsi="Trebuchet MS"/>
                <w:szCs w:val="24"/>
              </w:rPr>
            </w:pPr>
          </w:p>
        </w:tc>
      </w:tr>
    </w:tbl>
    <w:p w14:paraId="53BCCD88" w14:textId="77777777" w:rsidR="00814C9E" w:rsidRDefault="00814C9E"/>
    <w:sectPr w:rsidR="00814C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2D12D" w14:textId="77777777" w:rsidR="007A709C" w:rsidRDefault="007A709C" w:rsidP="007A709C">
      <w:pPr>
        <w:spacing w:line="240" w:lineRule="auto"/>
      </w:pPr>
      <w:r>
        <w:separator/>
      </w:r>
    </w:p>
  </w:endnote>
  <w:endnote w:type="continuationSeparator" w:id="0">
    <w:p w14:paraId="55110981" w14:textId="77777777" w:rsidR="007A709C" w:rsidRDefault="007A709C" w:rsidP="007A7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52EB" w14:textId="110C85BA" w:rsidR="007A709C" w:rsidRPr="007A709C" w:rsidRDefault="007A709C" w:rsidP="007A709C">
    <w:pPr>
      <w:pStyle w:val="Footer"/>
      <w:tabs>
        <w:tab w:val="left" w:pos="2700"/>
        <w:tab w:val="left" w:pos="6660"/>
      </w:tabs>
      <w:ind w:right="-360" w:firstLine="0"/>
      <w:jc w:val="center"/>
      <w:rPr>
        <w:rFonts w:ascii="Trebuchet MS" w:hAnsi="Trebuchet MS"/>
        <w:szCs w:val="24"/>
      </w:rPr>
    </w:pPr>
    <w:r w:rsidRPr="00835EDE">
      <w:rPr>
        <w:rStyle w:val="PageNumber"/>
        <w:rFonts w:ascii="Trebuchet MS" w:hAnsi="Trebuchet MS"/>
        <w:noProof/>
        <w:szCs w:val="24"/>
      </w:rPr>
      <mc:AlternateContent>
        <mc:Choice Requires="wps">
          <w:drawing>
            <wp:anchor distT="0" distB="0" distL="114300" distR="114300" simplePos="0" relativeHeight="251661312" behindDoc="0" locked="0" layoutInCell="1" allowOverlap="1" wp14:anchorId="5F7FA16A" wp14:editId="3E6040FD">
              <wp:simplePos x="0" y="0"/>
              <wp:positionH relativeFrom="column">
                <wp:posOffset>-622300</wp:posOffset>
              </wp:positionH>
              <wp:positionV relativeFrom="paragraph">
                <wp:posOffset>-159689</wp:posOffset>
              </wp:positionV>
              <wp:extent cx="1955800" cy="3302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30200"/>
                      </a:xfrm>
                      <a:prstGeom prst="rect">
                        <a:avLst/>
                      </a:prstGeom>
                      <a:solidFill>
                        <a:srgbClr val="FFFFFF"/>
                      </a:solidFill>
                      <a:ln w="9525">
                        <a:noFill/>
                        <a:miter lim="800000"/>
                        <a:headEnd/>
                        <a:tailEnd/>
                      </a:ln>
                    </wps:spPr>
                    <wps:txbx>
                      <w:txbxContent>
                        <w:p w14:paraId="4E800808" w14:textId="77777777" w:rsidR="007A709C" w:rsidRPr="00F82934" w:rsidRDefault="007A709C" w:rsidP="007A709C">
                          <w:pPr>
                            <w:rPr>
                              <w:rFonts w:ascii="Trebuchet MS" w:hAnsi="Trebuchet MS"/>
                              <w:color w:val="A6A6A6" w:themeColor="background1" w:themeShade="A6"/>
                              <w:sz w:val="22"/>
                            </w:rPr>
                          </w:pPr>
                          <w:r w:rsidRPr="00F82934">
                            <w:rPr>
                              <w:rFonts w:ascii="Trebuchet MS" w:hAnsi="Trebuchet MS"/>
                              <w:color w:val="A6A6A6" w:themeColor="background1" w:themeShade="A6"/>
                              <w:sz w:val="22"/>
                            </w:rPr>
                            <w:t>Praxis International</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F7FA16A" id="_x0000_t202" coordsize="21600,21600" o:spt="202" path="m,l,21600r21600,l21600,xe">
              <v:stroke joinstyle="miter"/>
              <v:path gradientshapeok="t" o:connecttype="rect"/>
            </v:shapetype>
            <v:shape id="Text Box 2" o:spid="_x0000_s1033" type="#_x0000_t202" style="position:absolute;left:0;text-align:left;margin-left:-49pt;margin-top:-12.55pt;width:154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" stroked="f">
              <v:textbox>
                <w:txbxContent>
                  <w:p w14:paraId="4E800808" w14:textId="77777777" w:rsidR="007A709C" w:rsidRPr="00F82934" w:rsidRDefault="007A709C" w:rsidP="007A709C">
                    <w:pPr>
                      <w:rPr>
                        <w:rFonts w:ascii="Trebuchet MS" w:hAnsi="Trebuchet MS"/>
                        <w:color w:val="A6A6A6" w:themeColor="background1" w:themeShade="A6"/>
                        <w:sz w:val="22"/>
                      </w:rPr>
                    </w:pPr>
                    <w:r w:rsidRPr="00F82934">
                      <w:rPr>
                        <w:rFonts w:ascii="Trebuchet MS" w:hAnsi="Trebuchet MS"/>
                        <w:color w:val="A6A6A6" w:themeColor="background1" w:themeShade="A6"/>
                        <w:sz w:val="22"/>
                      </w:rPr>
                      <w:t>Praxis International</w:t>
                    </w:r>
                  </w:p>
                </w:txbxContent>
              </v:textbox>
            </v:shape>
          </w:pict>
        </mc:Fallback>
      </mc:AlternateContent>
    </w:r>
    <w:r>
      <w:rPr>
        <w:rFonts w:ascii="Trebuchet MS" w:hAnsi="Trebuchet MS"/>
        <w:noProof/>
        <w:szCs w:val="24"/>
      </w:rPr>
      <mc:AlternateContent>
        <mc:Choice Requires="wps">
          <w:drawing>
            <wp:anchor distT="0" distB="0" distL="114300" distR="114300" simplePos="0" relativeHeight="251663360" behindDoc="0" locked="0" layoutInCell="1" allowOverlap="1" wp14:anchorId="0DAA0FD1" wp14:editId="502D799A">
              <wp:simplePos x="0" y="0"/>
              <wp:positionH relativeFrom="column">
                <wp:posOffset>3276600</wp:posOffset>
              </wp:positionH>
              <wp:positionV relativeFrom="paragraph">
                <wp:posOffset>106680</wp:posOffset>
              </wp:positionV>
              <wp:extent cx="3200400" cy="0"/>
              <wp:effectExtent l="0" t="0" r="25400" b="25400"/>
              <wp:wrapNone/>
              <wp:docPr id="45" name="Straight Connector 45"/>
              <wp:cNvGraphicFramePr/>
              <a:graphic xmlns:a="http://schemas.openxmlformats.org/drawingml/2006/main">
                <a:graphicData uri="http://schemas.microsoft.com/office/word/2010/wordprocessingShape">
                  <wps:wsp>
                    <wps:cNvCnPr/>
                    <wps:spPr>
                      <a:xfrm flipH="1">
                        <a:off x="0" y="0"/>
                        <a:ext cx="3200400" cy="0"/>
                      </a:xfrm>
                      <a:prstGeom prst="line">
                        <a:avLst/>
                      </a:prstGeom>
                      <a:ln>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371DCD" id="Straight Connector 4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58pt,8.4pt" to="51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" strokecolor="gray [1629]" strokeweight="1pt">
              <v:stroke joinstyle="miter"/>
            </v:line>
          </w:pict>
        </mc:Fallback>
      </mc:AlternateContent>
    </w:r>
    <w:r>
      <w:rPr>
        <w:rFonts w:ascii="Trebuchet MS" w:hAnsi="Trebuchet MS"/>
        <w:noProof/>
        <w:szCs w:val="24"/>
      </w:rPr>
      <mc:AlternateContent>
        <mc:Choice Requires="wps">
          <w:drawing>
            <wp:anchor distT="0" distB="0" distL="114300" distR="114300" simplePos="0" relativeHeight="251662336" behindDoc="0" locked="0" layoutInCell="1" allowOverlap="1" wp14:anchorId="7B9ED704" wp14:editId="17ABBF00">
              <wp:simplePos x="0" y="0"/>
              <wp:positionH relativeFrom="column">
                <wp:posOffset>-304800</wp:posOffset>
              </wp:positionH>
              <wp:positionV relativeFrom="paragraph">
                <wp:posOffset>106680</wp:posOffset>
              </wp:positionV>
              <wp:extent cx="3200400" cy="0"/>
              <wp:effectExtent l="0" t="0" r="25400" b="25400"/>
              <wp:wrapNone/>
              <wp:docPr id="44" name="Straight Connector 44"/>
              <wp:cNvGraphicFramePr/>
              <a:graphic xmlns:a="http://schemas.openxmlformats.org/drawingml/2006/main">
                <a:graphicData uri="http://schemas.microsoft.com/office/word/2010/wordprocessingShape">
                  <wps:wsp>
                    <wps:cNvCnPr/>
                    <wps:spPr>
                      <a:xfrm flipH="1">
                        <a:off x="0" y="0"/>
                        <a:ext cx="3200400" cy="0"/>
                      </a:xfrm>
                      <a:prstGeom prst="line">
                        <a:avLst/>
                      </a:prstGeom>
                      <a:ln>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3376D2" id="Straight Connector 4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4pt,8.4pt" to="2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" strokecolor="gray [1629]" strokeweight="1pt">
              <v:stroke joinstyle="miter"/>
            </v:line>
          </w:pict>
        </mc:Fallback>
      </mc:AlternateContent>
    </w:r>
    <w:r w:rsidRPr="00A85A1B">
      <w:rPr>
        <w:rStyle w:val="PageNumber"/>
        <w:rFonts w:ascii="Trebuchet MS" w:hAnsi="Trebuchet MS"/>
        <w:szCs w:val="24"/>
      </w:rPr>
      <w:fldChar w:fldCharType="begin"/>
    </w:r>
    <w:r w:rsidRPr="00A85A1B">
      <w:rPr>
        <w:rStyle w:val="PageNumber"/>
        <w:rFonts w:ascii="Trebuchet MS" w:hAnsi="Trebuchet MS"/>
        <w:szCs w:val="24"/>
      </w:rPr>
      <w:instrText xml:space="preserve">PAGE  </w:instrText>
    </w:r>
    <w:r w:rsidRPr="00A85A1B">
      <w:rPr>
        <w:rStyle w:val="PageNumber"/>
        <w:rFonts w:ascii="Trebuchet MS" w:hAnsi="Trebuchet MS"/>
        <w:szCs w:val="24"/>
      </w:rPr>
      <w:fldChar w:fldCharType="separate"/>
    </w:r>
    <w:r w:rsidR="009B2C6F">
      <w:rPr>
        <w:rStyle w:val="PageNumber"/>
        <w:rFonts w:ascii="Trebuchet MS" w:hAnsi="Trebuchet MS"/>
        <w:noProof/>
        <w:szCs w:val="24"/>
      </w:rPr>
      <w:t>2</w:t>
    </w:r>
    <w:r w:rsidRPr="00A85A1B">
      <w:rPr>
        <w:rStyle w:val="PageNumber"/>
        <w:rFonts w:ascii="Trebuchet MS" w:hAnsi="Trebuchet M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29E2F" w14:textId="77777777" w:rsidR="007A709C" w:rsidRDefault="007A709C" w:rsidP="007A709C">
      <w:pPr>
        <w:spacing w:line="240" w:lineRule="auto"/>
      </w:pPr>
      <w:r>
        <w:separator/>
      </w:r>
    </w:p>
  </w:footnote>
  <w:footnote w:type="continuationSeparator" w:id="0">
    <w:p w14:paraId="7923BC75" w14:textId="77777777" w:rsidR="007A709C" w:rsidRDefault="007A709C" w:rsidP="007A709C">
      <w:pPr>
        <w:spacing w:line="240" w:lineRule="auto"/>
      </w:pPr>
      <w:r>
        <w:continuationSeparator/>
      </w:r>
    </w:p>
  </w:footnote>
  <w:footnote w:id="1">
    <w:p w14:paraId="4AEAE9E4" w14:textId="4518960E" w:rsidR="00C62945" w:rsidRPr="00C62945" w:rsidRDefault="00C62945">
      <w:pPr>
        <w:pStyle w:val="FootnoteText"/>
        <w:rPr>
          <w:rFonts w:ascii="Trebuchet MS" w:hAnsi="Trebuchet MS"/>
        </w:rPr>
      </w:pPr>
      <w:r w:rsidRPr="00C62945">
        <w:rPr>
          <w:rStyle w:val="FootnoteReference"/>
          <w:rFonts w:ascii="Trebuchet MS" w:hAnsi="Trebuchet MS"/>
        </w:rPr>
        <w:footnoteRef/>
      </w:r>
      <w:r w:rsidRPr="00C62945">
        <w:rPr>
          <w:rFonts w:ascii="Trebuchet MS" w:hAnsi="Trebuchet MS"/>
        </w:rPr>
        <w:t xml:space="preserve"> https://praxisinternational.org/institutional-analysiscommunity-assessment-2/best-practice-assessment-guides/</w:t>
      </w:r>
    </w:p>
  </w:footnote>
  <w:footnote w:id="2">
    <w:p w14:paraId="458B5725" w14:textId="77777777" w:rsidR="007A709C" w:rsidRPr="00ED224D" w:rsidRDefault="007A709C" w:rsidP="007A709C">
      <w:pPr>
        <w:pStyle w:val="FootnoteText"/>
        <w:rPr>
          <w:rFonts w:ascii="Trebuchet MS" w:hAnsi="Trebuchet MS"/>
          <w:color w:val="808080" w:themeColor="background1" w:themeShade="80"/>
        </w:rPr>
      </w:pPr>
      <w:r w:rsidRPr="00ED224D">
        <w:rPr>
          <w:rStyle w:val="FootnoteReference"/>
          <w:rFonts w:ascii="Trebuchet MS" w:hAnsi="Trebuchet MS"/>
          <w:color w:val="808080" w:themeColor="background1" w:themeShade="80"/>
        </w:rPr>
        <w:footnoteRef/>
      </w:r>
      <w:r w:rsidRPr="00ED224D">
        <w:rPr>
          <w:rFonts w:ascii="Trebuchet MS" w:hAnsi="Trebuchet MS"/>
          <w:color w:val="808080" w:themeColor="background1" w:themeShade="80"/>
        </w:rPr>
        <w:t xml:space="preserve"> Information about the Safety and Accountability Audit and the Blueprint for Safety can be found at   </w:t>
      </w:r>
      <w:r w:rsidRPr="00893969">
        <w:rPr>
          <w:rFonts w:ascii="Trebuchet MS" w:hAnsi="Trebuchet MS"/>
          <w:color w:val="808080" w:themeColor="background1" w:themeShade="80"/>
        </w:rPr>
        <w:t>www.praxisinternational.org</w:t>
      </w:r>
      <w:r w:rsidRPr="00ED224D">
        <w:rPr>
          <w:rFonts w:ascii="Trebuchet MS" w:hAnsi="Trebuchet MS"/>
          <w:color w:val="808080" w:themeColor="background1" w:themeShade="8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4AB" w14:textId="44F95C15" w:rsidR="007A709C" w:rsidRDefault="007A709C">
    <w:pPr>
      <w:pStyle w:val="Header"/>
    </w:pPr>
    <w:r>
      <w:rPr>
        <w:rFonts w:ascii="Trebuchet MS" w:hAnsi="Trebuchet MS"/>
        <w:noProof/>
        <w:sz w:val="20"/>
        <w:szCs w:val="20"/>
      </w:rPr>
      <mc:AlternateContent>
        <mc:Choice Requires="wpg">
          <w:drawing>
            <wp:anchor distT="0" distB="0" distL="114300" distR="114300" simplePos="0" relativeHeight="251659264" behindDoc="0" locked="0" layoutInCell="1" allowOverlap="1" wp14:anchorId="2D4E5DFB" wp14:editId="6DBFE805">
              <wp:simplePos x="0" y="0"/>
              <wp:positionH relativeFrom="column">
                <wp:posOffset>-1239424</wp:posOffset>
              </wp:positionH>
              <wp:positionV relativeFrom="paragraph">
                <wp:posOffset>-132176</wp:posOffset>
              </wp:positionV>
              <wp:extent cx="8467090" cy="360045"/>
              <wp:effectExtent l="0" t="0" r="0" b="1905"/>
              <wp:wrapNone/>
              <wp:docPr id="4" name="Group 4"/>
              <wp:cNvGraphicFramePr/>
              <a:graphic xmlns:a="http://schemas.openxmlformats.org/drawingml/2006/main">
                <a:graphicData uri="http://schemas.microsoft.com/office/word/2010/wordprocessingGroup">
                  <wpg:wgp>
                    <wpg:cNvGrpSpPr/>
                    <wpg:grpSpPr>
                      <a:xfrm>
                        <a:off x="0" y="0"/>
                        <a:ext cx="8467090" cy="360045"/>
                        <a:chOff x="0" y="0"/>
                        <a:chExt cx="8467090" cy="360189"/>
                      </a:xfrm>
                    </wpg:grpSpPr>
                    <wpg:grpSp>
                      <wpg:cNvPr id="1" name="Group 1"/>
                      <wpg:cNvGrpSpPr>
                        <a:grpSpLocks/>
                      </wpg:cNvGrpSpPr>
                      <wpg:grpSpPr bwMode="auto">
                        <a:xfrm>
                          <a:off x="0" y="9669"/>
                          <a:ext cx="8146415" cy="350520"/>
                          <a:chOff x="1063929" y="1060033"/>
                          <a:chExt cx="71972" cy="2437"/>
                        </a:xfrm>
                      </wpg:grpSpPr>
                      <wpg:grpSp>
                        <wpg:cNvPr id="9" name="Group 2"/>
                        <wpg:cNvGrpSpPr>
                          <a:grpSpLocks/>
                        </wpg:cNvGrpSpPr>
                        <wpg:grpSpPr bwMode="auto">
                          <a:xfrm>
                            <a:off x="1063929" y="1060033"/>
                            <a:ext cx="71972" cy="2437"/>
                            <a:chOff x="1063929" y="1060033"/>
                            <a:chExt cx="71972" cy="2437"/>
                          </a:xfrm>
                        </wpg:grpSpPr>
                        <wps:wsp>
                          <wps:cNvPr id="10" name="Rectangle 3"/>
                          <wps:cNvSpPr>
                            <a:spLocks noChangeArrowheads="1"/>
                          </wps:cNvSpPr>
                          <wps:spPr bwMode="auto">
                            <a:xfrm>
                              <a:off x="1067385" y="1060033"/>
                              <a:ext cx="68516" cy="2437"/>
                            </a:xfrm>
                            <a:prstGeom prst="rect">
                              <a:avLst/>
                            </a:prstGeom>
                            <a:solidFill>
                              <a:srgbClr val="76D6EC"/>
                            </a:solidFill>
                            <a:ln>
                              <a:noFill/>
                            </a:ln>
                            <a:effectLst/>
                            <a:extLst>
                              <a:ext uri="{91240B29-F687-4F45-9708-019B960494DF}">
                                <a14:hiddenLine xmlns:a14="http://schemas.microsoft.com/office/drawing/2010/main" w="9525" algn="in">
                                  <a:solidFill>
                                    <a:srgbClr val="76D6EC"/>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 name="AutoShape 4"/>
                          <wps:cNvSpPr>
                            <a:spLocks noChangeArrowheads="1"/>
                          </wps:cNvSpPr>
                          <wps:spPr bwMode="auto">
                            <a:xfrm>
                              <a:off x="1063929" y="1060034"/>
                              <a:ext cx="9382" cy="2435"/>
                            </a:xfrm>
                            <a:prstGeom prst="parallelogram">
                              <a:avLst>
                                <a:gd name="adj" fmla="val 96324"/>
                              </a:avLst>
                            </a:prstGeom>
                            <a:solidFill>
                              <a:srgbClr val="26262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2" name="Text Box 5"/>
                        <wps:cNvSpPr txBox="1">
                          <a:spLocks noChangeArrowheads="1"/>
                        </wps:cNvSpPr>
                        <wps:spPr bwMode="auto">
                          <a:xfrm>
                            <a:off x="1075027" y="1060726"/>
                            <a:ext cx="50044" cy="1385"/>
                          </a:xfrm>
                          <a:prstGeom prst="rect">
                            <a:avLst/>
                          </a:prstGeom>
                          <a:no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7A681F" w14:textId="43FA16C6" w:rsidR="007A709C" w:rsidRPr="00117EA3" w:rsidRDefault="003C5B9D" w:rsidP="003C5B9D">
                              <w:pPr>
                                <w:widowControl w:val="0"/>
                                <w:jc w:val="center"/>
                                <w:rPr>
                                  <w:rFonts w:ascii="Trebuchet MS" w:hAnsi="Trebuchet MS"/>
                                  <w:b/>
                                  <w:szCs w:val="24"/>
                                </w:rPr>
                              </w:pPr>
                              <w:r w:rsidRPr="003C5B9D">
                                <w:rPr>
                                  <w:rFonts w:ascii="Trebuchet MS" w:hAnsi="Trebuchet MS"/>
                                  <w:b/>
                                  <w:szCs w:val="24"/>
                                </w:rPr>
                                <w:t>Domestic Violence Best Practice Assessment</w:t>
                              </w:r>
                            </w:p>
                          </w:txbxContent>
                        </wps:txbx>
                        <wps:bodyPr rot="0" vert="horz" wrap="square" lIns="0" tIns="0" rIns="0" bIns="0" anchor="t" anchorCtr="0" upright="1">
                          <a:noAutofit/>
                        </wps:bodyPr>
                      </wps:wsp>
                    </wpg:grpSp>
                    <wps:wsp>
                      <wps:cNvPr id="13" name="AutoShape 4"/>
                      <wps:cNvSpPr>
                        <a:spLocks noChangeArrowheads="1"/>
                      </wps:cNvSpPr>
                      <wps:spPr bwMode="auto">
                        <a:xfrm rot="10800000">
                          <a:off x="7248525" y="0"/>
                          <a:ext cx="1218565" cy="350520"/>
                        </a:xfrm>
                        <a:prstGeom prst="parallelogram">
                          <a:avLst>
                            <a:gd name="adj" fmla="val 96324"/>
                          </a:avLst>
                        </a:prstGeom>
                        <a:solidFill>
                          <a:srgbClr val="26262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2D4E5DFB" id="Group 4" o:spid="_x0000_s1026" style="position:absolute;left:0;text-align:left;margin-left:-97.6pt;margin-top:-10.4pt;width:666.7pt;height:28.35pt;z-index:251659264;mso-height-relative:margin" coordsize="84670,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">
              <v:group id="Group 1" o:spid="_x0000_s1027" style="position:absolute;top:96;width:81464;height:3505" coordorigin="10639,10600" coordsize="7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2" o:spid="_x0000_s1028" style="position:absolute;left:10639;top:10600;width:720;height:24" coordorigin="10639,10600" coordsize="7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3" o:spid="_x0000_s1029" style="position:absolute;left:10673;top:10600;width:68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" fillcolor="#76d6ec" stroked="f" strokecolor="#76d6ec" insetpen="t">
                    <v:shadow color="#eeece1"/>
                    <v:textbox inset="2.88pt,2.88pt,2.88pt,2.88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30" type="#_x0000_t7" style="position:absolute;left:10639;top:10600;width:9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" fillcolor="#262626" stroked="f" strokecolor="black [0]" insetpen="t">
                    <v:shadow color="#eeece1"/>
                    <v:textbox inset="2.88pt,2.88pt,2.88pt,2.88pt"/>
                  </v:shape>
                </v:group>
                <v:shapetype id="_x0000_t202" coordsize="21600,21600" o:spt="202" path="m,l,21600r21600,l21600,xe">
                  <v:stroke joinstyle="miter"/>
                  <v:path gradientshapeok="t" o:connecttype="rect"/>
                </v:shapetype>
                <v:shape id="Text Box 5" o:spid="_x0000_s1031" type="#_x0000_t202" style="position:absolute;left:10750;top:10607;width:50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" filled="f" stroked="f" strokecolor="black [0]" insetpen="t">
                  <v:textbox inset="0,0,0,0">
                    <w:txbxContent>
                      <w:p w14:paraId="7A7A681F" w14:textId="43FA16C6" w:rsidR="007A709C" w:rsidRPr="00117EA3" w:rsidRDefault="003C5B9D" w:rsidP="003C5B9D">
                        <w:pPr>
                          <w:widowControl w:val="0"/>
                          <w:jc w:val="center"/>
                          <w:rPr>
                            <w:rFonts w:ascii="Trebuchet MS" w:hAnsi="Trebuchet MS"/>
                            <w:b/>
                            <w:szCs w:val="24"/>
                          </w:rPr>
                        </w:pPr>
                        <w:r w:rsidRPr="003C5B9D">
                          <w:rPr>
                            <w:rFonts w:ascii="Trebuchet MS" w:hAnsi="Trebuchet MS"/>
                            <w:b/>
                            <w:szCs w:val="24"/>
                          </w:rPr>
                          <w:t>Domestic Violence Best Practice Assessment</w:t>
                        </w:r>
                      </w:p>
                    </w:txbxContent>
                  </v:textbox>
                </v:shape>
              </v:group>
              <v:shape id="AutoShape 4" o:spid="_x0000_s1032" type="#_x0000_t7" style="position:absolute;left:72485;width:12185;height:350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" adj="5985" fillcolor="#262626" stroked="f" strokecolor="black [0]" insetpen="t">
                <v:shadow color="#eeece1"/>
                <v:textbox inset="2.88pt,2.88pt,2.88pt,2.88p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AEC"/>
    <w:multiLevelType w:val="hybridMultilevel"/>
    <w:tmpl w:val="FFBC8AD8"/>
    <w:lvl w:ilvl="0" w:tplc="29FC1850">
      <w:start w:val="1"/>
      <w:numFmt w:val="bullet"/>
      <w:lvlText w:val=""/>
      <w:lvlJc w:val="left"/>
      <w:pPr>
        <w:tabs>
          <w:tab w:val="num" w:pos="360"/>
        </w:tabs>
        <w:ind w:left="360" w:hanging="360"/>
      </w:pPr>
      <w:rPr>
        <w:rFonts w:ascii="Symbol" w:hAnsi="Symbol" w:hint="default"/>
      </w:rPr>
    </w:lvl>
    <w:lvl w:ilvl="1" w:tplc="9A32FBE0">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54733FA"/>
    <w:multiLevelType w:val="hybridMultilevel"/>
    <w:tmpl w:val="6652AE3A"/>
    <w:lvl w:ilvl="0" w:tplc="29FC1850">
      <w:start w:val="1"/>
      <w:numFmt w:val="bullet"/>
      <w:lvlText w:val=""/>
      <w:lvlJc w:val="left"/>
      <w:pPr>
        <w:tabs>
          <w:tab w:val="num" w:pos="360"/>
        </w:tabs>
        <w:ind w:left="360" w:hanging="360"/>
      </w:pPr>
      <w:rPr>
        <w:rFonts w:ascii="Symbol" w:hAnsi="Symbol" w:hint="default"/>
      </w:rPr>
    </w:lvl>
    <w:lvl w:ilvl="1" w:tplc="29FC1850">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504D569A"/>
    <w:multiLevelType w:val="hybridMultilevel"/>
    <w:tmpl w:val="DACC7436"/>
    <w:lvl w:ilvl="0" w:tplc="1C2AC36C">
      <w:start w:val="1"/>
      <w:numFmt w:val="bullet"/>
      <w:lvlText w:val=""/>
      <w:lvlJc w:val="left"/>
      <w:pPr>
        <w:tabs>
          <w:tab w:val="num" w:pos="360"/>
        </w:tabs>
        <w:ind w:left="360" w:hanging="360"/>
      </w:pPr>
      <w:rPr>
        <w:rFonts w:ascii="Wingdings" w:hAnsi="Wingdings" w:hint="default"/>
      </w:rPr>
    </w:lvl>
    <w:lvl w:ilvl="1" w:tplc="9A32FBE0">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602D5DF3"/>
    <w:multiLevelType w:val="hybridMultilevel"/>
    <w:tmpl w:val="B9CAF6EA"/>
    <w:lvl w:ilvl="0" w:tplc="1C2AC36C">
      <w:start w:val="1"/>
      <w:numFmt w:val="bullet"/>
      <w:lvlText w:val=""/>
      <w:lvlJc w:val="left"/>
      <w:pPr>
        <w:tabs>
          <w:tab w:val="num" w:pos="360"/>
        </w:tabs>
        <w:ind w:left="360" w:hanging="360"/>
      </w:pPr>
      <w:rPr>
        <w:rFonts w:ascii="Wingdings" w:hAnsi="Wingdings" w:hint="default"/>
      </w:rPr>
    </w:lvl>
    <w:lvl w:ilvl="1" w:tplc="29FC1850">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64705EBD"/>
    <w:multiLevelType w:val="hybridMultilevel"/>
    <w:tmpl w:val="701EA652"/>
    <w:lvl w:ilvl="0" w:tplc="1C2AC36C">
      <w:start w:val="1"/>
      <w:numFmt w:val="bullet"/>
      <w:lvlText w:val=""/>
      <w:lvlJc w:val="left"/>
      <w:pPr>
        <w:tabs>
          <w:tab w:val="num" w:pos="360"/>
        </w:tabs>
        <w:ind w:left="360" w:hanging="360"/>
      </w:pPr>
      <w:rPr>
        <w:rFonts w:ascii="Wingdings" w:hAnsi="Wingdings" w:hint="default"/>
      </w:rPr>
    </w:lvl>
    <w:lvl w:ilvl="1" w:tplc="29FC1850">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6FCA6BAD"/>
    <w:multiLevelType w:val="hybridMultilevel"/>
    <w:tmpl w:val="447A4A6A"/>
    <w:lvl w:ilvl="0" w:tplc="29FC1850">
      <w:start w:val="1"/>
      <w:numFmt w:val="bullet"/>
      <w:lvlText w:val=""/>
      <w:lvlJc w:val="left"/>
      <w:pPr>
        <w:tabs>
          <w:tab w:val="num" w:pos="360"/>
        </w:tabs>
        <w:ind w:left="360" w:hanging="360"/>
      </w:pPr>
      <w:rPr>
        <w:rFonts w:ascii="Symbol" w:hAnsi="Symbol" w:hint="default"/>
      </w:rPr>
    </w:lvl>
    <w:lvl w:ilvl="1" w:tplc="29FC1850">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9C"/>
    <w:rsid w:val="003C5B9D"/>
    <w:rsid w:val="007A709C"/>
    <w:rsid w:val="00814C9E"/>
    <w:rsid w:val="009B2C6F"/>
    <w:rsid w:val="00C6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A6A18"/>
  <w15:chartTrackingRefBased/>
  <w15:docId w15:val="{8DB0CBB5-E062-4513-98F1-32491AA9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9C"/>
    <w:pPr>
      <w:spacing w:after="0" w:line="300" w:lineRule="auto"/>
      <w:ind w:firstLine="360"/>
      <w:jc w:val="both"/>
    </w:pPr>
    <w:rPr>
      <w:rFonts w:ascii="Times New Roman" w:eastAsia="Times New Roman" w:hAnsi="Times New Roman" w:cs="Times New Roman"/>
      <w:sz w:val="24"/>
    </w:rPr>
  </w:style>
  <w:style w:type="paragraph" w:styleId="Heading1">
    <w:name w:val="heading 1"/>
    <w:basedOn w:val="Normal"/>
    <w:next w:val="Normal"/>
    <w:link w:val="Heading1Char"/>
    <w:autoRedefine/>
    <w:qFormat/>
    <w:rsid w:val="007A709C"/>
    <w:pPr>
      <w:ind w:firstLine="0"/>
      <w:jc w:val="center"/>
      <w:outlineLvl w:val="0"/>
    </w:pPr>
    <w:rPr>
      <w:rFonts w:ascii="Trebuchet MS" w:eastAsia="Calibri" w:hAnsi="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09C"/>
    <w:rPr>
      <w:rFonts w:ascii="Trebuchet MS" w:eastAsia="Calibri" w:hAnsi="Trebuchet MS" w:cs="Times New Roman"/>
      <w:b/>
      <w:bCs/>
      <w:sz w:val="28"/>
      <w:szCs w:val="28"/>
    </w:rPr>
  </w:style>
  <w:style w:type="paragraph" w:styleId="FootnoteText">
    <w:name w:val="footnote text"/>
    <w:basedOn w:val="Normal"/>
    <w:link w:val="FootnoteTextChar"/>
    <w:rsid w:val="007A709C"/>
    <w:pPr>
      <w:spacing w:line="240" w:lineRule="auto"/>
      <w:ind w:firstLine="0"/>
      <w:jc w:val="left"/>
    </w:pPr>
    <w:rPr>
      <w:sz w:val="20"/>
      <w:szCs w:val="20"/>
    </w:rPr>
  </w:style>
  <w:style w:type="character" w:customStyle="1" w:styleId="FootnoteTextChar">
    <w:name w:val="Footnote Text Char"/>
    <w:basedOn w:val="DefaultParagraphFont"/>
    <w:link w:val="FootnoteText"/>
    <w:rsid w:val="007A709C"/>
    <w:rPr>
      <w:rFonts w:ascii="Times New Roman" w:eastAsia="Times New Roman" w:hAnsi="Times New Roman" w:cs="Times New Roman"/>
      <w:sz w:val="20"/>
      <w:szCs w:val="20"/>
    </w:rPr>
  </w:style>
  <w:style w:type="character" w:styleId="FootnoteReference">
    <w:name w:val="footnote reference"/>
    <w:rsid w:val="007A709C"/>
    <w:rPr>
      <w:vertAlign w:val="superscript"/>
    </w:rPr>
  </w:style>
  <w:style w:type="paragraph" w:styleId="Header">
    <w:name w:val="header"/>
    <w:basedOn w:val="Normal"/>
    <w:link w:val="HeaderChar"/>
    <w:uiPriority w:val="99"/>
    <w:unhideWhenUsed/>
    <w:rsid w:val="007A709C"/>
    <w:pPr>
      <w:tabs>
        <w:tab w:val="center" w:pos="4680"/>
        <w:tab w:val="right" w:pos="9360"/>
      </w:tabs>
      <w:spacing w:line="240" w:lineRule="auto"/>
    </w:pPr>
  </w:style>
  <w:style w:type="character" w:customStyle="1" w:styleId="HeaderChar">
    <w:name w:val="Header Char"/>
    <w:basedOn w:val="DefaultParagraphFont"/>
    <w:link w:val="Header"/>
    <w:uiPriority w:val="99"/>
    <w:rsid w:val="007A709C"/>
    <w:rPr>
      <w:rFonts w:ascii="Times New Roman" w:eastAsia="Times New Roman" w:hAnsi="Times New Roman" w:cs="Times New Roman"/>
      <w:sz w:val="24"/>
    </w:rPr>
  </w:style>
  <w:style w:type="paragraph" w:styleId="Footer">
    <w:name w:val="footer"/>
    <w:basedOn w:val="Normal"/>
    <w:link w:val="FooterChar"/>
    <w:unhideWhenUsed/>
    <w:qFormat/>
    <w:rsid w:val="007A709C"/>
    <w:pPr>
      <w:tabs>
        <w:tab w:val="center" w:pos="4680"/>
        <w:tab w:val="right" w:pos="9360"/>
      </w:tabs>
      <w:spacing w:line="240" w:lineRule="auto"/>
    </w:pPr>
  </w:style>
  <w:style w:type="character" w:customStyle="1" w:styleId="FooterChar">
    <w:name w:val="Footer Char"/>
    <w:basedOn w:val="DefaultParagraphFont"/>
    <w:link w:val="Footer"/>
    <w:rsid w:val="007A709C"/>
    <w:rPr>
      <w:rFonts w:ascii="Times New Roman" w:eastAsia="Times New Roman" w:hAnsi="Times New Roman" w:cs="Times New Roman"/>
      <w:sz w:val="24"/>
    </w:rPr>
  </w:style>
  <w:style w:type="character" w:styleId="PageNumber">
    <w:name w:val="page number"/>
    <w:basedOn w:val="DefaultParagraphFont"/>
    <w:rsid w:val="007A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7190-6484-49A7-85DB-1D0222D1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 Chang</dc:creator>
  <cp:keywords/>
  <dc:description/>
  <cp:lastModifiedBy>Liz Carlson</cp:lastModifiedBy>
  <cp:revision>2</cp:revision>
  <dcterms:created xsi:type="dcterms:W3CDTF">2019-08-19T19:39:00Z</dcterms:created>
  <dcterms:modified xsi:type="dcterms:W3CDTF">2019-08-19T19:39:00Z</dcterms:modified>
</cp:coreProperties>
</file>